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5B41" w14:textId="6BCA55E5" w:rsidR="00575DC0" w:rsidRDefault="00575DC0" w:rsidP="00575DC0">
      <w:pPr>
        <w:suppressAutoHyphens/>
        <w:spacing w:after="0" w:line="240" w:lineRule="auto"/>
        <w:rPr>
          <w:rFonts w:ascii="Calibri Light" w:eastAsia="Times New Roman" w:hAnsi="Calibri Light" w:cs="Calibri Light"/>
          <w:i/>
          <w:sz w:val="24"/>
          <w:szCs w:val="20"/>
        </w:rPr>
      </w:pPr>
      <w:r w:rsidRPr="00575DC0">
        <w:rPr>
          <w:rFonts w:ascii="Calibri Light" w:eastAsia="Times New Roman" w:hAnsi="Calibri Light" w:cs="Calibri Light"/>
          <w:i/>
          <w:sz w:val="24"/>
          <w:szCs w:val="20"/>
        </w:rPr>
        <w:t>(</w:t>
      </w:r>
      <w:r w:rsidR="0095239A" w:rsidRPr="0095239A">
        <w:rPr>
          <w:rFonts w:ascii="Calibri Light" w:eastAsia="Times New Roman" w:hAnsi="Calibri Light" w:cs="Calibri Light"/>
          <w:i/>
          <w:sz w:val="24"/>
          <w:szCs w:val="20"/>
        </w:rPr>
        <w:t>Znak postępowania:</w:t>
      </w:r>
      <w:r w:rsidRPr="00575DC0">
        <w:rPr>
          <w:rFonts w:ascii="Calibri Light" w:eastAsia="Times New Roman" w:hAnsi="Calibri Light" w:cs="Calibri Light"/>
          <w:i/>
          <w:sz w:val="24"/>
          <w:szCs w:val="20"/>
        </w:rPr>
        <w:t xml:space="preserve"> ZP.271.9.2025.RF)</w:t>
      </w:r>
    </w:p>
    <w:p w14:paraId="424DC30D" w14:textId="77777777" w:rsidR="00575DC0" w:rsidRDefault="00575DC0" w:rsidP="00E91331">
      <w:pPr>
        <w:suppressAutoHyphens/>
        <w:spacing w:after="0" w:line="240" w:lineRule="auto"/>
        <w:jc w:val="right"/>
        <w:rPr>
          <w:rFonts w:ascii="Calibri Light" w:eastAsia="Times New Roman" w:hAnsi="Calibri Light" w:cs="Calibri Light"/>
          <w:i/>
          <w:sz w:val="24"/>
          <w:szCs w:val="20"/>
        </w:rPr>
      </w:pPr>
    </w:p>
    <w:p w14:paraId="03130FB0" w14:textId="65709E69" w:rsidR="00006A39" w:rsidRPr="00A2234E" w:rsidRDefault="00006A39" w:rsidP="00E91331">
      <w:pPr>
        <w:suppressAutoHyphens/>
        <w:spacing w:after="0" w:line="240" w:lineRule="auto"/>
        <w:jc w:val="right"/>
        <w:rPr>
          <w:rFonts w:ascii="Calibri Light" w:eastAsia="Times New Roman" w:hAnsi="Calibri Light" w:cs="Calibri Light"/>
          <w:i/>
          <w:sz w:val="24"/>
          <w:szCs w:val="20"/>
        </w:rPr>
      </w:pPr>
      <w:r w:rsidRPr="00A2234E">
        <w:rPr>
          <w:rFonts w:ascii="Calibri Light" w:eastAsia="Times New Roman" w:hAnsi="Calibri Light" w:cs="Calibri Light"/>
          <w:i/>
          <w:sz w:val="24"/>
          <w:szCs w:val="20"/>
        </w:rPr>
        <w:t xml:space="preserve">Załącznik </w:t>
      </w:r>
      <w:r w:rsidR="000538A5" w:rsidRPr="00A2234E">
        <w:rPr>
          <w:rFonts w:ascii="Calibri Light" w:eastAsia="Times New Roman" w:hAnsi="Calibri Light" w:cs="Calibri Light"/>
          <w:i/>
          <w:sz w:val="24"/>
          <w:szCs w:val="20"/>
        </w:rPr>
        <w:t xml:space="preserve">nr </w:t>
      </w:r>
      <w:r w:rsidR="00792C29">
        <w:rPr>
          <w:rFonts w:ascii="Calibri Light" w:eastAsia="Times New Roman" w:hAnsi="Calibri Light" w:cs="Calibri Light"/>
          <w:i/>
          <w:sz w:val="24"/>
          <w:szCs w:val="20"/>
        </w:rPr>
        <w:t>6</w:t>
      </w:r>
      <w:r w:rsidR="000538A5" w:rsidRPr="00A2234E">
        <w:rPr>
          <w:rFonts w:ascii="Calibri Light" w:eastAsia="Times New Roman" w:hAnsi="Calibri Light" w:cs="Calibri Light"/>
          <w:i/>
          <w:sz w:val="24"/>
          <w:szCs w:val="20"/>
        </w:rPr>
        <w:t xml:space="preserve"> </w:t>
      </w:r>
      <w:r w:rsidR="006D68D7" w:rsidRPr="00A2234E">
        <w:rPr>
          <w:rFonts w:ascii="Calibri Light" w:eastAsia="Times New Roman" w:hAnsi="Calibri Light" w:cs="Calibri Light"/>
          <w:i/>
          <w:sz w:val="24"/>
          <w:szCs w:val="20"/>
        </w:rPr>
        <w:t xml:space="preserve">do </w:t>
      </w:r>
      <w:r w:rsidRPr="00A2234E">
        <w:rPr>
          <w:rFonts w:ascii="Calibri Light" w:eastAsia="Times New Roman" w:hAnsi="Calibri Light" w:cs="Calibri Light"/>
          <w:i/>
          <w:sz w:val="24"/>
          <w:szCs w:val="20"/>
        </w:rPr>
        <w:t xml:space="preserve"> SWZ</w:t>
      </w:r>
      <w:r w:rsidR="00E91331" w:rsidRPr="00A2234E">
        <w:rPr>
          <w:rFonts w:ascii="Calibri Light" w:eastAsia="Times New Roman" w:hAnsi="Calibri Light" w:cs="Calibri Light"/>
          <w:i/>
          <w:sz w:val="24"/>
          <w:szCs w:val="20"/>
        </w:rPr>
        <w:t xml:space="preserve"> - </w:t>
      </w:r>
      <w:r w:rsidR="00E91331" w:rsidRPr="002670D8">
        <w:rPr>
          <w:rFonts w:ascii="Calibri Light" w:eastAsia="Times New Roman" w:hAnsi="Calibri Light" w:cs="Calibri Light"/>
          <w:b/>
          <w:bCs/>
          <w:i/>
          <w:sz w:val="24"/>
          <w:szCs w:val="20"/>
        </w:rPr>
        <w:t>Projektowane postanowienia umowy</w:t>
      </w:r>
    </w:p>
    <w:p w14:paraId="5E27FFAA" w14:textId="77777777" w:rsidR="00A2234E" w:rsidRPr="00A2234E" w:rsidRDefault="00A2234E" w:rsidP="00E91331">
      <w:pPr>
        <w:suppressAutoHyphens/>
        <w:spacing w:after="0" w:line="240" w:lineRule="auto"/>
        <w:jc w:val="right"/>
        <w:rPr>
          <w:rFonts w:ascii="Calibri Light" w:eastAsia="Times New Roman" w:hAnsi="Calibri Light" w:cs="Calibri Light"/>
          <w:i/>
          <w:sz w:val="24"/>
          <w:szCs w:val="20"/>
        </w:rPr>
      </w:pPr>
    </w:p>
    <w:p w14:paraId="62A6A83A" w14:textId="77777777" w:rsidR="00A2234E" w:rsidRPr="00A2234E" w:rsidRDefault="00A2234E" w:rsidP="00E91331">
      <w:pPr>
        <w:suppressAutoHyphens/>
        <w:spacing w:after="0" w:line="240" w:lineRule="auto"/>
        <w:jc w:val="right"/>
        <w:rPr>
          <w:rFonts w:ascii="Calibri Light" w:eastAsia="Times New Roman" w:hAnsi="Calibri Light" w:cs="Calibri Light"/>
          <w:i/>
          <w:sz w:val="24"/>
          <w:szCs w:val="20"/>
        </w:rPr>
      </w:pPr>
    </w:p>
    <w:p w14:paraId="68172A3F" w14:textId="265056C7" w:rsidR="00A2234E" w:rsidRPr="00E75C4C" w:rsidRDefault="00A2234E" w:rsidP="00A2234E">
      <w:pPr>
        <w:pStyle w:val="Teksttreci30"/>
        <w:shd w:val="clear" w:color="auto" w:fill="auto"/>
        <w:spacing w:before="0" w:after="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E75C4C">
        <w:rPr>
          <w:rFonts w:ascii="Calibri Light" w:hAnsi="Calibri Light" w:cs="Calibri Light"/>
          <w:b/>
          <w:sz w:val="24"/>
          <w:szCs w:val="24"/>
        </w:rPr>
        <w:t>„Bankowa obsługa budżetu Gminy Lubartów wraz z jej jednostkami organizacyjnymi”</w:t>
      </w:r>
      <w:r w:rsidRPr="00E75C4C">
        <w:rPr>
          <w:rFonts w:ascii="Calibri Light" w:hAnsi="Calibri Light" w:cs="Calibri Light"/>
          <w:sz w:val="24"/>
          <w:szCs w:val="24"/>
        </w:rPr>
        <w:t xml:space="preserve"> </w:t>
      </w:r>
      <w:r w:rsidR="00705AF2">
        <w:rPr>
          <w:rFonts w:ascii="Calibri Light" w:hAnsi="Calibri Light" w:cs="Calibri Light"/>
          <w:sz w:val="24"/>
          <w:szCs w:val="24"/>
        </w:rPr>
        <w:t xml:space="preserve">                       </w:t>
      </w:r>
      <w:r w:rsidR="00575DC0" w:rsidRPr="00E75C4C">
        <w:rPr>
          <w:rFonts w:ascii="Calibri Light" w:hAnsi="Calibri Light" w:cs="Calibri Light"/>
          <w:sz w:val="24"/>
          <w:szCs w:val="24"/>
        </w:rPr>
        <w:t xml:space="preserve">       </w:t>
      </w:r>
      <w:r w:rsidRPr="00E75C4C">
        <w:rPr>
          <w:rFonts w:ascii="Calibri Light" w:hAnsi="Calibri Light" w:cs="Calibri Light"/>
          <w:sz w:val="24"/>
          <w:szCs w:val="24"/>
        </w:rPr>
        <w:t>na okres 3 lat (36 miesięcy).</w:t>
      </w:r>
    </w:p>
    <w:p w14:paraId="4D2BBFD4" w14:textId="77777777" w:rsidR="009E635B" w:rsidRPr="009E635B" w:rsidRDefault="009E635B" w:rsidP="00730F35">
      <w:pPr>
        <w:shd w:val="clear" w:color="auto" w:fill="FFFFFF"/>
        <w:spacing w:before="20" w:after="40"/>
        <w:contextualSpacing/>
        <w:rPr>
          <w:rFonts w:asciiTheme="majorHAnsi" w:eastAsia="SimSun" w:hAnsiTheme="majorHAnsi" w:cstheme="majorHAnsi"/>
          <w:b/>
          <w:sz w:val="24"/>
          <w:szCs w:val="24"/>
          <w:lang w:eastAsia="zh-CN"/>
        </w:rPr>
      </w:pPr>
      <w:r w:rsidRPr="009E635B">
        <w:rPr>
          <w:rFonts w:asciiTheme="majorHAnsi" w:eastAsia="SimSun" w:hAnsiTheme="majorHAnsi" w:cstheme="majorHAnsi"/>
          <w:sz w:val="24"/>
          <w:szCs w:val="24"/>
          <w:lang w:eastAsia="zh-CN"/>
        </w:rPr>
        <w:t xml:space="preserve">Przedmiot zamówienia należy zrealizować w terminie </w:t>
      </w:r>
      <w:r w:rsidRPr="009E635B">
        <w:rPr>
          <w:rFonts w:asciiTheme="majorHAnsi" w:eastAsia="SimSun" w:hAnsiTheme="majorHAnsi" w:cstheme="majorHAnsi"/>
          <w:b/>
          <w:sz w:val="24"/>
          <w:szCs w:val="24"/>
          <w:lang w:eastAsia="zh-CN"/>
        </w:rPr>
        <w:t>od 03.11.2025 r. do 03.11.2028 r.</w:t>
      </w:r>
    </w:p>
    <w:p w14:paraId="226B035B" w14:textId="77777777" w:rsidR="009E635B" w:rsidRPr="009E635B" w:rsidRDefault="009E635B" w:rsidP="009E635B">
      <w:pPr>
        <w:shd w:val="clear" w:color="auto" w:fill="FFFFFF"/>
        <w:spacing w:before="20" w:after="40"/>
        <w:contextualSpacing/>
        <w:jc w:val="both"/>
        <w:rPr>
          <w:rFonts w:asciiTheme="majorHAnsi" w:eastAsia="SimSun" w:hAnsiTheme="majorHAnsi" w:cstheme="majorHAnsi"/>
          <w:bCs/>
          <w:sz w:val="24"/>
          <w:szCs w:val="24"/>
          <w:lang w:eastAsia="zh-CN"/>
        </w:rPr>
      </w:pPr>
      <w:r w:rsidRPr="009E635B">
        <w:rPr>
          <w:rFonts w:asciiTheme="majorHAnsi" w:eastAsia="SimSun" w:hAnsiTheme="majorHAnsi" w:cstheme="majorHAnsi"/>
          <w:bCs/>
          <w:sz w:val="24"/>
          <w:szCs w:val="24"/>
          <w:lang w:eastAsia="zh-CN"/>
        </w:rPr>
        <w:t>(36 miesięcy).</w:t>
      </w:r>
    </w:p>
    <w:p w14:paraId="47C51DE5" w14:textId="77777777" w:rsidR="00A2234E" w:rsidRPr="00A2234E" w:rsidRDefault="00A2234E" w:rsidP="00A2234E">
      <w:pPr>
        <w:pStyle w:val="Teksttreci30"/>
        <w:shd w:val="clear" w:color="auto" w:fill="auto"/>
        <w:spacing w:before="0" w:after="0" w:line="276" w:lineRule="auto"/>
        <w:jc w:val="both"/>
        <w:rPr>
          <w:rFonts w:ascii="Calibri Light" w:hAnsi="Calibri Light" w:cs="Calibri Light"/>
          <w:sz w:val="26"/>
          <w:szCs w:val="26"/>
        </w:rPr>
      </w:pPr>
    </w:p>
    <w:p w14:paraId="5BBCAEAB" w14:textId="77777777" w:rsidR="00A2234E" w:rsidRPr="00575DC0" w:rsidRDefault="00A2234E" w:rsidP="00A2234E">
      <w:pPr>
        <w:pStyle w:val="Teksttreci30"/>
        <w:shd w:val="clear" w:color="auto" w:fill="auto"/>
        <w:tabs>
          <w:tab w:val="left" w:pos="243"/>
        </w:tabs>
        <w:spacing w:before="0" w:after="0" w:line="276" w:lineRule="auto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 w:rsidRPr="00575DC0">
        <w:rPr>
          <w:rFonts w:ascii="Calibri Light" w:hAnsi="Calibri Light" w:cs="Calibri Light"/>
          <w:b/>
          <w:bCs/>
          <w:sz w:val="24"/>
          <w:szCs w:val="24"/>
          <w:u w:val="single"/>
        </w:rPr>
        <w:t>Przedmiot zamówienia</w:t>
      </w:r>
    </w:p>
    <w:p w14:paraId="7085B2A8" w14:textId="77777777" w:rsidR="00A2234E" w:rsidRPr="00A2234E" w:rsidRDefault="00A2234E" w:rsidP="00A2234E">
      <w:pPr>
        <w:pStyle w:val="Teksttreci0"/>
        <w:shd w:val="clear" w:color="auto" w:fill="auto"/>
        <w:spacing w:after="0" w:line="276" w:lineRule="auto"/>
        <w:ind w:firstLine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Przedmiotem zamówienia jest bankowa obsługa budżetu jednostki samorządu terytorialnego Gminy Lubartów wraz z jej jednostkami organizacyjnymi, polegająca w szczególności na:</w:t>
      </w:r>
    </w:p>
    <w:p w14:paraId="5423BD62" w14:textId="77777777" w:rsidR="00A2234E" w:rsidRPr="00A2234E" w:rsidRDefault="00A2234E" w:rsidP="00A2234E">
      <w:pPr>
        <w:pStyle w:val="Teksttreci0"/>
        <w:numPr>
          <w:ilvl w:val="1"/>
          <w:numId w:val="43"/>
        </w:numPr>
        <w:shd w:val="clear" w:color="auto" w:fill="auto"/>
        <w:tabs>
          <w:tab w:val="left" w:pos="214"/>
        </w:tabs>
        <w:spacing w:after="0" w:line="240" w:lineRule="auto"/>
        <w:ind w:left="284" w:hanging="264"/>
        <w:jc w:val="both"/>
        <w:rPr>
          <w:rFonts w:ascii="Calibri Light" w:hAnsi="Calibri Light" w:cs="Calibri Light"/>
          <w:b/>
          <w:sz w:val="24"/>
          <w:szCs w:val="24"/>
        </w:rPr>
      </w:pPr>
      <w:r w:rsidRPr="00A2234E">
        <w:rPr>
          <w:rFonts w:ascii="Calibri Light" w:hAnsi="Calibri Light" w:cs="Calibri Light"/>
          <w:b/>
          <w:sz w:val="24"/>
          <w:szCs w:val="24"/>
        </w:rPr>
        <w:t>Otwarciu i prowadzeniu rachunków bieżących i pomocniczych na podstawie zawartej umowy,</w:t>
      </w:r>
    </w:p>
    <w:p w14:paraId="00C4E273" w14:textId="00E230A4" w:rsidR="00A2234E" w:rsidRPr="00A2234E" w:rsidRDefault="00A2234E" w:rsidP="00A2234E">
      <w:pPr>
        <w:pStyle w:val="Teksttreci0"/>
        <w:numPr>
          <w:ilvl w:val="1"/>
          <w:numId w:val="43"/>
        </w:numPr>
        <w:shd w:val="clear" w:color="auto" w:fill="auto"/>
        <w:tabs>
          <w:tab w:val="left" w:pos="240"/>
        </w:tabs>
        <w:spacing w:after="0" w:line="240" w:lineRule="auto"/>
        <w:ind w:left="284" w:hanging="264"/>
        <w:jc w:val="both"/>
        <w:rPr>
          <w:rFonts w:ascii="Calibri Light" w:hAnsi="Calibri Light" w:cs="Calibri Light"/>
          <w:b/>
          <w:sz w:val="24"/>
          <w:szCs w:val="24"/>
        </w:rPr>
      </w:pPr>
      <w:r w:rsidRPr="00A2234E">
        <w:rPr>
          <w:rFonts w:ascii="Calibri Light" w:hAnsi="Calibri Light" w:cs="Calibri Light"/>
          <w:b/>
          <w:sz w:val="24"/>
          <w:szCs w:val="24"/>
        </w:rPr>
        <w:t>Wykonywaniu bankowych rozliczeń pieniężnych:</w:t>
      </w:r>
    </w:p>
    <w:p w14:paraId="1C300DC0" w14:textId="77777777" w:rsidR="00A2234E" w:rsidRPr="00A2234E" w:rsidRDefault="00A2234E" w:rsidP="00A2234E">
      <w:pPr>
        <w:pStyle w:val="Teksttreci0"/>
        <w:numPr>
          <w:ilvl w:val="2"/>
          <w:numId w:val="43"/>
        </w:numPr>
        <w:shd w:val="clear" w:color="auto" w:fill="auto"/>
        <w:tabs>
          <w:tab w:val="left" w:pos="402"/>
        </w:tabs>
        <w:spacing w:after="0" w:line="276" w:lineRule="auto"/>
        <w:ind w:left="284" w:hanging="26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W obrocie bezgotówkowym, w szczególności w formie poleceń przelewu:</w:t>
      </w:r>
    </w:p>
    <w:p w14:paraId="7A8C4C86" w14:textId="77777777" w:rsidR="00A2234E" w:rsidRPr="00A2234E" w:rsidRDefault="00A2234E" w:rsidP="00A2234E">
      <w:pPr>
        <w:pStyle w:val="Teksttreci0"/>
        <w:numPr>
          <w:ilvl w:val="3"/>
          <w:numId w:val="43"/>
        </w:numPr>
        <w:shd w:val="clear" w:color="auto" w:fill="auto"/>
        <w:tabs>
          <w:tab w:val="left" w:pos="571"/>
        </w:tabs>
        <w:spacing w:after="0" w:line="276" w:lineRule="auto"/>
        <w:ind w:left="284" w:hanging="26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składanych w banku za pomocą papierowych nośników informacji przez Zamawiającego w oddziale lub filii znajdujących się w miejscowości Lubartów w każdym dniu roboczym w godzinach pracy banku,</w:t>
      </w:r>
    </w:p>
    <w:p w14:paraId="7360AAD9" w14:textId="77777777" w:rsidR="00A2234E" w:rsidRPr="00A2234E" w:rsidRDefault="00A2234E" w:rsidP="00A2234E">
      <w:pPr>
        <w:pStyle w:val="Teksttreci0"/>
        <w:numPr>
          <w:ilvl w:val="3"/>
          <w:numId w:val="43"/>
        </w:numPr>
        <w:shd w:val="clear" w:color="auto" w:fill="auto"/>
        <w:tabs>
          <w:tab w:val="left" w:pos="571"/>
        </w:tabs>
        <w:spacing w:after="0" w:line="276" w:lineRule="auto"/>
        <w:ind w:left="284" w:hanging="26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składanych w banku za pomocą elektronicznych nośników informacji przez Zamawiającego z wykorzystaniem rozwiązań technicznych zapewniających:</w:t>
      </w:r>
    </w:p>
    <w:p w14:paraId="5E873A4C" w14:textId="77777777" w:rsidR="00A2234E" w:rsidRPr="00A2234E" w:rsidRDefault="00A2234E" w:rsidP="00A2234E">
      <w:pPr>
        <w:pStyle w:val="Teksttreci0"/>
        <w:numPr>
          <w:ilvl w:val="4"/>
          <w:numId w:val="43"/>
        </w:numPr>
        <w:shd w:val="clear" w:color="auto" w:fill="auto"/>
        <w:tabs>
          <w:tab w:val="left" w:pos="284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bezpieczeństwo dokonywania transakcji,</w:t>
      </w:r>
    </w:p>
    <w:p w14:paraId="04D44C01" w14:textId="77777777" w:rsidR="00A2234E" w:rsidRPr="00A2234E" w:rsidRDefault="00A2234E" w:rsidP="00A2234E">
      <w:pPr>
        <w:pStyle w:val="Teksttreci0"/>
        <w:numPr>
          <w:ilvl w:val="4"/>
          <w:numId w:val="43"/>
        </w:numPr>
        <w:shd w:val="clear" w:color="auto" w:fill="auto"/>
        <w:tabs>
          <w:tab w:val="left" w:pos="284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wykonywanie rozliczeń oraz uzyskiwanie w czasie rzeczywistym informacji o rozliczeniach pieniężnych i saldach rachunków w oparciu o sieć zdalnego dostępu,</w:t>
      </w:r>
    </w:p>
    <w:p w14:paraId="5F748666" w14:textId="77777777" w:rsidR="00A2234E" w:rsidRPr="00A2234E" w:rsidRDefault="00A2234E" w:rsidP="00A2234E">
      <w:pPr>
        <w:pStyle w:val="Teksttreci0"/>
        <w:numPr>
          <w:ilvl w:val="4"/>
          <w:numId w:val="43"/>
        </w:numPr>
        <w:shd w:val="clear" w:color="auto" w:fill="auto"/>
        <w:tabs>
          <w:tab w:val="left" w:pos="284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zgodność ze standardami określającymi zakres danych jakie winien zawierać przelew, zwłaszcza na rachunki organów podatkowych oraz ZUS,</w:t>
      </w:r>
    </w:p>
    <w:p w14:paraId="1454CE33" w14:textId="77777777" w:rsidR="00A2234E" w:rsidRPr="00A2234E" w:rsidRDefault="00A2234E" w:rsidP="00A2234E">
      <w:pPr>
        <w:pStyle w:val="Teksttreci0"/>
        <w:numPr>
          <w:ilvl w:val="4"/>
          <w:numId w:val="43"/>
        </w:numPr>
        <w:shd w:val="clear" w:color="auto" w:fill="auto"/>
        <w:tabs>
          <w:tab w:val="left" w:pos="284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autoryzacje przez upoważnione osoby,</w:t>
      </w:r>
    </w:p>
    <w:p w14:paraId="14773786" w14:textId="77777777" w:rsidR="00A2234E" w:rsidRPr="00A2234E" w:rsidRDefault="00A2234E" w:rsidP="00A2234E">
      <w:pPr>
        <w:pStyle w:val="Teksttreci0"/>
        <w:numPr>
          <w:ilvl w:val="4"/>
          <w:numId w:val="43"/>
        </w:numPr>
        <w:shd w:val="clear" w:color="auto" w:fill="auto"/>
        <w:tabs>
          <w:tab w:val="left" w:pos="284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zautomatyzowanie procesu tworzenia przelewów (słowniki kontrahentów).</w:t>
      </w:r>
    </w:p>
    <w:p w14:paraId="3C99BD9C" w14:textId="77777777" w:rsidR="00A2234E" w:rsidRPr="00A2234E" w:rsidRDefault="00A2234E" w:rsidP="00A2234E">
      <w:pPr>
        <w:pStyle w:val="Teksttreci0"/>
        <w:shd w:val="clear" w:color="auto" w:fill="auto"/>
        <w:tabs>
          <w:tab w:val="left" w:pos="284"/>
        </w:tabs>
        <w:spacing w:after="0" w:line="276" w:lineRule="auto"/>
        <w:ind w:left="284" w:firstLine="0"/>
        <w:jc w:val="both"/>
        <w:rPr>
          <w:rFonts w:ascii="Calibri Light" w:hAnsi="Calibri Light" w:cs="Calibri Light"/>
          <w:sz w:val="24"/>
          <w:szCs w:val="24"/>
        </w:rPr>
      </w:pPr>
    </w:p>
    <w:p w14:paraId="710BF0C5" w14:textId="77777777" w:rsidR="00A2234E" w:rsidRPr="00A2234E" w:rsidRDefault="00A2234E" w:rsidP="00A2234E">
      <w:pPr>
        <w:pStyle w:val="Teksttreci0"/>
        <w:numPr>
          <w:ilvl w:val="5"/>
          <w:numId w:val="43"/>
        </w:numPr>
        <w:shd w:val="clear" w:color="auto" w:fill="auto"/>
        <w:tabs>
          <w:tab w:val="left" w:pos="398"/>
        </w:tabs>
        <w:spacing w:after="0" w:line="276" w:lineRule="auto"/>
        <w:ind w:left="426" w:hanging="406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W obrocie gotówkowym, w szczególności poprzez:</w:t>
      </w:r>
    </w:p>
    <w:p w14:paraId="7220B35E" w14:textId="77777777" w:rsidR="00A2234E" w:rsidRPr="00A2234E" w:rsidRDefault="00A2234E" w:rsidP="00A2234E">
      <w:pPr>
        <w:pStyle w:val="Teksttreci0"/>
        <w:numPr>
          <w:ilvl w:val="6"/>
          <w:numId w:val="43"/>
        </w:numPr>
        <w:shd w:val="clear" w:color="auto" w:fill="auto"/>
        <w:tabs>
          <w:tab w:val="left" w:pos="671"/>
        </w:tabs>
        <w:spacing w:after="0" w:line="276" w:lineRule="auto"/>
        <w:ind w:left="426" w:hanging="406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wpłatę gotówki na rachunki lub wypłatę z rachunków w oddziale lub filii znajdujących się w miejscowości Lubartów w każdym dniu roboczym w godzinach pracy banku,</w:t>
      </w:r>
    </w:p>
    <w:p w14:paraId="6B8E1C73" w14:textId="77777777" w:rsidR="00A2234E" w:rsidRPr="00A2234E" w:rsidRDefault="00A2234E" w:rsidP="00A2234E">
      <w:pPr>
        <w:pStyle w:val="Teksttreci0"/>
        <w:numPr>
          <w:ilvl w:val="6"/>
          <w:numId w:val="43"/>
        </w:numPr>
        <w:shd w:val="clear" w:color="auto" w:fill="auto"/>
        <w:tabs>
          <w:tab w:val="left" w:pos="682"/>
        </w:tabs>
        <w:spacing w:after="0" w:line="276" w:lineRule="auto"/>
        <w:ind w:left="426" w:hanging="406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realizacji dyspozycji wypłaty przez osoby trzecie (polecenie wypłaty w kasie banku) składanych przez system bankowości elektronicznej lub w formie dokumentu papierowego w oddziale lub filii znajdującej się w miejscowości Lubartów w każdym dniu roboczym w godzinach pracy banku.</w:t>
      </w:r>
    </w:p>
    <w:p w14:paraId="45E658FE" w14:textId="77777777" w:rsidR="00A2234E" w:rsidRPr="00A2234E" w:rsidRDefault="00A2234E" w:rsidP="00A2234E">
      <w:pPr>
        <w:pStyle w:val="Teksttreci0"/>
        <w:shd w:val="clear" w:color="auto" w:fill="auto"/>
        <w:tabs>
          <w:tab w:val="left" w:pos="682"/>
        </w:tabs>
        <w:spacing w:after="0" w:line="276" w:lineRule="auto"/>
        <w:ind w:left="426" w:firstLine="0"/>
        <w:jc w:val="both"/>
        <w:rPr>
          <w:rFonts w:ascii="Calibri Light" w:hAnsi="Calibri Light" w:cs="Calibri Light"/>
          <w:sz w:val="24"/>
          <w:szCs w:val="24"/>
        </w:rPr>
      </w:pPr>
    </w:p>
    <w:p w14:paraId="30F0F3CC" w14:textId="77777777" w:rsidR="00A2234E" w:rsidRPr="00A2234E" w:rsidRDefault="00A2234E" w:rsidP="00A2234E">
      <w:pPr>
        <w:pStyle w:val="Teksttreci0"/>
        <w:shd w:val="clear" w:color="auto" w:fill="auto"/>
        <w:spacing w:after="0" w:line="276" w:lineRule="auto"/>
        <w:ind w:left="426" w:hanging="406"/>
        <w:jc w:val="both"/>
        <w:rPr>
          <w:rFonts w:ascii="Calibri Light" w:hAnsi="Calibri Light" w:cs="Calibri Light"/>
          <w:b/>
          <w:sz w:val="24"/>
          <w:szCs w:val="24"/>
        </w:rPr>
      </w:pPr>
      <w:r w:rsidRPr="00A2234E">
        <w:rPr>
          <w:rFonts w:ascii="Calibri Light" w:hAnsi="Calibri Light" w:cs="Calibri Light"/>
          <w:b/>
          <w:sz w:val="24"/>
          <w:szCs w:val="24"/>
        </w:rPr>
        <w:t>3. Udzielanie kredytu w rachunku bieżącym na pokrycie występującego w trakcie roku deficytu budżetowego Gminy Lubartów.</w:t>
      </w:r>
    </w:p>
    <w:p w14:paraId="26C5A5B0" w14:textId="77777777" w:rsidR="00A2234E" w:rsidRDefault="00A2234E" w:rsidP="00A2234E">
      <w:pPr>
        <w:pStyle w:val="Teksttreci0"/>
        <w:shd w:val="clear" w:color="auto" w:fill="auto"/>
        <w:spacing w:after="0" w:line="276" w:lineRule="auto"/>
        <w:ind w:left="426" w:hanging="40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010FB56" w14:textId="77777777" w:rsidR="00DC1FFC" w:rsidRDefault="00DC1FFC" w:rsidP="00A2234E">
      <w:pPr>
        <w:pStyle w:val="Teksttreci0"/>
        <w:shd w:val="clear" w:color="auto" w:fill="auto"/>
        <w:spacing w:after="0" w:line="276" w:lineRule="auto"/>
        <w:ind w:left="426" w:hanging="40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3CD9444" w14:textId="77777777" w:rsidR="00DC1FFC" w:rsidRDefault="00DC1FFC" w:rsidP="00A2234E">
      <w:pPr>
        <w:pStyle w:val="Teksttreci0"/>
        <w:shd w:val="clear" w:color="auto" w:fill="auto"/>
        <w:spacing w:after="0" w:line="276" w:lineRule="auto"/>
        <w:ind w:left="426" w:hanging="40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1A70AE" w14:textId="77777777" w:rsidR="00DC1FFC" w:rsidRPr="00A2234E" w:rsidRDefault="00DC1FFC" w:rsidP="00A2234E">
      <w:pPr>
        <w:pStyle w:val="Teksttreci0"/>
        <w:shd w:val="clear" w:color="auto" w:fill="auto"/>
        <w:spacing w:after="0" w:line="276" w:lineRule="auto"/>
        <w:ind w:left="426" w:hanging="406"/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7721CD8" w14:textId="77777777" w:rsidR="00A2234E" w:rsidRPr="00A2234E" w:rsidRDefault="00A2234E" w:rsidP="00A2234E">
      <w:pPr>
        <w:pStyle w:val="Teksttreci0"/>
        <w:shd w:val="clear" w:color="auto" w:fill="auto"/>
        <w:spacing w:after="164" w:line="276" w:lineRule="auto"/>
        <w:ind w:left="426" w:hanging="406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Przewidywana szacunkowa ilość zamawianych usług została określona w tabeli poniżej:</w:t>
      </w:r>
    </w:p>
    <w:tbl>
      <w:tblPr>
        <w:tblW w:w="92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7"/>
        <w:gridCol w:w="4540"/>
        <w:gridCol w:w="1883"/>
        <w:gridCol w:w="2351"/>
      </w:tblGrid>
      <w:tr w:rsidR="00A2234E" w:rsidRPr="00A2234E" w14:paraId="196D16A4" w14:textId="77777777" w:rsidTr="00DB3AEE">
        <w:trPr>
          <w:trHeight w:val="95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93E05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Lp.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D1E75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84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Czynność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643C5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Jednostka miary do kalkulacji kosztów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D188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310" w:firstLine="1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Szacunkowa ilość usług (wielkość) za okres 36 miesięcy </w:t>
            </w:r>
          </w:p>
        </w:tc>
      </w:tr>
      <w:tr w:rsidR="00A2234E" w:rsidRPr="00A2234E" w14:paraId="74EB1050" w14:textId="77777777" w:rsidTr="00DB3AEE">
        <w:trPr>
          <w:trHeight w:val="5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A48F4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D7508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Prowadzenie rachunku bieżącego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F9D2E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  zł/miesięcznie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CF6B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6 x 36 m-</w:t>
            </w:r>
            <w:proofErr w:type="spellStart"/>
            <w:r w:rsidRPr="00A2234E">
              <w:rPr>
                <w:rFonts w:ascii="Calibri Light" w:hAnsi="Calibri Light" w:cs="Calibri Light"/>
                <w:sz w:val="24"/>
                <w:szCs w:val="24"/>
              </w:rPr>
              <w:t>cy</w:t>
            </w:r>
            <w:proofErr w:type="spellEnd"/>
            <w:r w:rsidRPr="00A2234E">
              <w:rPr>
                <w:rFonts w:ascii="Calibri Light" w:hAnsi="Calibri Light" w:cs="Calibri Light"/>
                <w:sz w:val="24"/>
                <w:szCs w:val="24"/>
              </w:rPr>
              <w:t>=216</w:t>
            </w:r>
          </w:p>
        </w:tc>
      </w:tr>
      <w:tr w:rsidR="00A2234E" w:rsidRPr="00A2234E" w14:paraId="4EC3CF66" w14:textId="77777777" w:rsidTr="00DB3AEE">
        <w:trPr>
          <w:trHeight w:val="5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DC219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C2ECB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Prowadzenie rachunku pomocniczego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095F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  zł/miesięcznie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6371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75 x 36 m-</w:t>
            </w:r>
            <w:proofErr w:type="spellStart"/>
            <w:r w:rsidRPr="00A2234E">
              <w:rPr>
                <w:rFonts w:ascii="Calibri Light" w:hAnsi="Calibri Light" w:cs="Calibri Light"/>
                <w:sz w:val="24"/>
                <w:szCs w:val="24"/>
              </w:rPr>
              <w:t>cy</w:t>
            </w:r>
            <w:proofErr w:type="spellEnd"/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 =2700</w:t>
            </w:r>
          </w:p>
        </w:tc>
      </w:tr>
      <w:tr w:rsidR="00A2234E" w:rsidRPr="00A2234E" w14:paraId="652B0496" w14:textId="77777777" w:rsidTr="00DB3AEE">
        <w:trPr>
          <w:trHeight w:val="60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864BB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D2A41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Wpłaty gotówkowe własne na rachunki prowadzone w banku w formie otwartej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F506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   % od wpłaty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6D94B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3.663.773,99 zł za okres 3 lat (717 szt. wpłat)</w:t>
            </w:r>
          </w:p>
        </w:tc>
      </w:tr>
      <w:tr w:rsidR="00A2234E" w:rsidRPr="00A2234E" w14:paraId="130C23C8" w14:textId="77777777" w:rsidTr="00DB3AEE">
        <w:trPr>
          <w:trHeight w:val="594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BCF60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2F6A64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Abonament jednostki za korzystanie z systemu bankowości elektronicznej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7A56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zł/miesięcznie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F0053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6 jednostek x 36 m-</w:t>
            </w:r>
            <w:proofErr w:type="spellStart"/>
            <w:r w:rsidRPr="00A2234E">
              <w:rPr>
                <w:rFonts w:ascii="Calibri Light" w:hAnsi="Calibri Light" w:cs="Calibri Light"/>
                <w:sz w:val="24"/>
                <w:szCs w:val="24"/>
              </w:rPr>
              <w:t>cy</w:t>
            </w:r>
            <w:proofErr w:type="spellEnd"/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 = 216</w:t>
            </w:r>
          </w:p>
        </w:tc>
      </w:tr>
      <w:tr w:rsidR="00A2234E" w:rsidRPr="00A2234E" w14:paraId="12FDB2DF" w14:textId="77777777" w:rsidTr="00DB3AEE">
        <w:trPr>
          <w:trHeight w:val="893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568E7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63710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Przelew w obrębie banku prowadzącego rachunek w systemie bankowości elektronicznej.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B5627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zł/za 1 przelew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4DAE0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25563 szt. za okres 36 m-</w:t>
            </w:r>
            <w:proofErr w:type="spellStart"/>
            <w:r w:rsidRPr="00A2234E">
              <w:rPr>
                <w:rFonts w:ascii="Calibri Light" w:hAnsi="Calibri Light" w:cs="Calibri Light"/>
                <w:sz w:val="24"/>
                <w:szCs w:val="24"/>
              </w:rPr>
              <w:t>cy</w:t>
            </w:r>
            <w:proofErr w:type="spellEnd"/>
          </w:p>
        </w:tc>
      </w:tr>
      <w:tr w:rsidR="00A2234E" w:rsidRPr="00A2234E" w14:paraId="3F6E6CE2" w14:textId="77777777" w:rsidTr="00DB3AEE">
        <w:trPr>
          <w:trHeight w:val="5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3D347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6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D2275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Przelew do innego banku w systemie bankowości elektronicznej.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FD046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zł/za 1 przelew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5EB3E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53106 szt. za okres 36 m-</w:t>
            </w:r>
            <w:proofErr w:type="spellStart"/>
            <w:r w:rsidRPr="00A2234E">
              <w:rPr>
                <w:rFonts w:ascii="Calibri Light" w:hAnsi="Calibri Light" w:cs="Calibri Light"/>
                <w:sz w:val="24"/>
                <w:szCs w:val="24"/>
              </w:rPr>
              <w:t>cy</w:t>
            </w:r>
            <w:proofErr w:type="spellEnd"/>
          </w:p>
        </w:tc>
      </w:tr>
      <w:tr w:rsidR="00A2234E" w:rsidRPr="00A2234E" w14:paraId="4D83762B" w14:textId="77777777" w:rsidTr="00DB3AEE">
        <w:trPr>
          <w:trHeight w:val="10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3FF42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442B2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Oprocentowanie kredytu w rachunku bieżącym dla kwoty 8 000 000,00 zł (wykorzystanie w każdym roku w okresie 60 dni x 3 lata – oprocentowanie kredytu WIBOR 1M + marża banku)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F7797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% od kwoty kredytu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B95EC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8"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8 000 000,00 zł x 180 dni x oprocentowanie dzielone przez 365 dni</w:t>
            </w:r>
          </w:p>
        </w:tc>
      </w:tr>
      <w:tr w:rsidR="00A2234E" w:rsidRPr="00A2234E" w14:paraId="5EF5D3E0" w14:textId="77777777" w:rsidTr="00DB3AEE">
        <w:trPr>
          <w:trHeight w:val="102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93E24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1C1D8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Polecenie wypłaty w kasie banku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66258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zł/ za 1 szt. polecenia wypłaty w kasie banku 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7B2DF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8"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25 x 36 m-</w:t>
            </w:r>
            <w:proofErr w:type="spellStart"/>
            <w:r w:rsidRPr="00A2234E">
              <w:rPr>
                <w:rFonts w:ascii="Calibri Light" w:hAnsi="Calibri Light" w:cs="Calibri Light"/>
                <w:sz w:val="24"/>
                <w:szCs w:val="24"/>
              </w:rPr>
              <w:t>cy</w:t>
            </w:r>
            <w:proofErr w:type="spellEnd"/>
            <w:r w:rsidRPr="00A2234E">
              <w:rPr>
                <w:rFonts w:ascii="Calibri Light" w:hAnsi="Calibri Light" w:cs="Calibri Light"/>
                <w:sz w:val="24"/>
                <w:szCs w:val="24"/>
              </w:rPr>
              <w:t xml:space="preserve"> = 900 szt.</w:t>
            </w:r>
          </w:p>
        </w:tc>
      </w:tr>
      <w:tr w:rsidR="00A2234E" w:rsidRPr="00A2234E" w14:paraId="004727D7" w14:textId="77777777" w:rsidTr="00DB3AEE">
        <w:trPr>
          <w:trHeight w:val="1080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E216D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6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51F66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left="120" w:firstLine="0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Oprocentowanie rachunków bieżących i rachunków pomocniczych.</w:t>
            </w:r>
          </w:p>
        </w:tc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26CDD" w14:textId="77777777" w:rsidR="00A2234E" w:rsidRPr="00A2234E" w:rsidRDefault="00A2234E" w:rsidP="00DB3AEE">
            <w:pPr>
              <w:pStyle w:val="Teksttreci0"/>
              <w:framePr w:wrap="notBeside" w:vAnchor="text" w:hAnchor="text" w:xAlign="center" w:y="1"/>
              <w:shd w:val="clear" w:color="auto" w:fill="auto"/>
              <w:spacing w:after="0" w:line="276" w:lineRule="auto"/>
              <w:ind w:firstLine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2234E">
              <w:rPr>
                <w:rFonts w:ascii="Calibri Light" w:hAnsi="Calibri Light" w:cs="Calibri Light"/>
                <w:sz w:val="24"/>
                <w:szCs w:val="24"/>
              </w:rPr>
              <w:t>% od salda środków na rachunku w stosunku rocznym</w:t>
            </w:r>
          </w:p>
        </w:tc>
      </w:tr>
    </w:tbl>
    <w:p w14:paraId="44D01682" w14:textId="77777777" w:rsidR="00A2234E" w:rsidRPr="00A2234E" w:rsidRDefault="00A2234E" w:rsidP="00A2234E">
      <w:pPr>
        <w:pStyle w:val="Podpistabeli0"/>
        <w:framePr w:wrap="notBeside" w:vAnchor="text" w:hAnchor="text" w:xAlign="center" w:y="1"/>
        <w:shd w:val="clear" w:color="auto" w:fill="auto"/>
        <w:spacing w:line="276" w:lineRule="auto"/>
        <w:ind w:firstLine="0"/>
        <w:jc w:val="center"/>
        <w:rPr>
          <w:rFonts w:ascii="Calibri Light" w:hAnsi="Calibri Light" w:cs="Calibri Light"/>
          <w:b/>
          <w:sz w:val="24"/>
          <w:szCs w:val="24"/>
        </w:rPr>
      </w:pPr>
      <w:r w:rsidRPr="00A2234E">
        <w:rPr>
          <w:rFonts w:ascii="Calibri Light" w:hAnsi="Calibri Light" w:cs="Calibri Light"/>
          <w:b/>
          <w:sz w:val="24"/>
          <w:szCs w:val="24"/>
        </w:rPr>
        <w:t>Uwaga!</w:t>
      </w:r>
    </w:p>
    <w:p w14:paraId="7DFC43EE" w14:textId="77777777" w:rsidR="00A2234E" w:rsidRPr="00DC1FFC" w:rsidRDefault="00A2234E" w:rsidP="00A2234E">
      <w:pPr>
        <w:pStyle w:val="Podpistabeli0"/>
        <w:framePr w:wrap="notBeside" w:vAnchor="text" w:hAnchor="text" w:xAlign="center" w:y="1"/>
        <w:shd w:val="clear" w:color="auto" w:fill="auto"/>
        <w:spacing w:line="276" w:lineRule="auto"/>
        <w:ind w:firstLine="0"/>
        <w:rPr>
          <w:rFonts w:ascii="Calibri Light" w:hAnsi="Calibri Light" w:cs="Calibri Light"/>
          <w:b/>
          <w:bCs/>
          <w:sz w:val="24"/>
          <w:szCs w:val="24"/>
        </w:rPr>
      </w:pPr>
      <w:r w:rsidRPr="00DC1FFC">
        <w:rPr>
          <w:rFonts w:ascii="Calibri Light" w:hAnsi="Calibri Light" w:cs="Calibri Light"/>
          <w:b/>
          <w:bCs/>
          <w:sz w:val="24"/>
          <w:szCs w:val="24"/>
        </w:rPr>
        <w:t>Wszystkie ilości i wielkości podane w tabeli są wartościami szacunkowymi przyjętymi do ustalenia ceny zamówienia w okresie trwania zamówienia tj. 36 miesięcy od daty zawarcia umowy, ustalone na podstawie danych z pierwszego półrocza 2025 roku.</w:t>
      </w:r>
    </w:p>
    <w:p w14:paraId="51C6ED5B" w14:textId="77777777" w:rsidR="00A2234E" w:rsidRPr="00A2234E" w:rsidRDefault="00A2234E" w:rsidP="00A2234E">
      <w:pPr>
        <w:rPr>
          <w:rFonts w:ascii="Calibri Light" w:hAnsi="Calibri Light" w:cs="Calibri Light"/>
          <w:color w:val="FF0000"/>
        </w:rPr>
      </w:pPr>
    </w:p>
    <w:p w14:paraId="578CAB7A" w14:textId="77777777" w:rsidR="00A2234E" w:rsidRPr="00A2234E" w:rsidRDefault="00A2234E" w:rsidP="00A2234E">
      <w:pPr>
        <w:pStyle w:val="Teksttreci0"/>
        <w:shd w:val="clear" w:color="auto" w:fill="auto"/>
        <w:spacing w:after="237" w:line="276" w:lineRule="auto"/>
        <w:ind w:firstLine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 xml:space="preserve">W ramach przedmiotu zamówienia wykonawca zobowiązany będzie do otwarcia 81 sztuk rachunków Gminy i jednostek organizacyjnych (według szacunków na dzień sporządzenia zapytania ofertowego). Są to rachunki bieżące i rachunki pomocnicze. Użytkownikami bankowości elektronicznej będzie 6 jednostek (w ramach jednostki Samorządowy Zespół Administracyjny Szkół w Lubartowie prowadzone są rachunki pomocnicze dla 5 szkół </w:t>
      </w:r>
      <w:r w:rsidRPr="00A2234E">
        <w:rPr>
          <w:rFonts w:ascii="Calibri Light" w:hAnsi="Calibri Light" w:cs="Calibri Light"/>
          <w:sz w:val="24"/>
          <w:szCs w:val="24"/>
        </w:rPr>
        <w:lastRenderedPageBreak/>
        <w:t>podstawowych i 1 zespołu szkolno-przedszkolnego), w każdej od 2 do 9 osób podpisujących przelewy lub mających dostęp do systemu bankowości elektronicznej.</w:t>
      </w:r>
    </w:p>
    <w:p w14:paraId="4A9B44FB" w14:textId="77777777" w:rsidR="00A2234E" w:rsidRPr="00A2234E" w:rsidRDefault="00A2234E" w:rsidP="00A2234E">
      <w:pPr>
        <w:pStyle w:val="Teksttreci0"/>
        <w:shd w:val="clear" w:color="auto" w:fill="auto"/>
        <w:spacing w:after="243" w:line="276" w:lineRule="auto"/>
        <w:ind w:firstLine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 xml:space="preserve">Bank zobowiązany będzie do otwarcia innych rachunków, wynikających z przepisów prawa, których konieczność otwarcia zaistnieje w trakcie trwania umowy oraz rachunków bieżących i pomocniczych wynikających z podpisanych umów dot. środków pomocowych z budżetu UE i innych źródeł zewnętrznych. </w:t>
      </w:r>
    </w:p>
    <w:p w14:paraId="41B22CF9" w14:textId="77777777" w:rsidR="00A2234E" w:rsidRPr="00A2234E" w:rsidRDefault="00A2234E" w:rsidP="00A2234E">
      <w:pPr>
        <w:pStyle w:val="Teksttreci0"/>
        <w:shd w:val="clear" w:color="auto" w:fill="auto"/>
        <w:spacing w:after="289" w:line="276" w:lineRule="auto"/>
        <w:ind w:firstLine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Zamawiający wymaga, aby w przypadku łączenia, przekształcania jednostek organizacyjnych Zamawiającego lub tworzenia nowych jednostek organizacyjnych Zamawiającego, Wykonawca zobowiązany był do realizacji przedmiotowej usługi na warunkach zadeklarowanych w ofercie.</w:t>
      </w:r>
    </w:p>
    <w:p w14:paraId="6B74137D" w14:textId="77777777" w:rsidR="00A2234E" w:rsidRPr="00A2234E" w:rsidRDefault="00A2234E" w:rsidP="00A2234E">
      <w:pPr>
        <w:pStyle w:val="Teksttreci0"/>
        <w:shd w:val="clear" w:color="auto" w:fill="auto"/>
        <w:spacing w:after="32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Zamawiający nie dopuszcza pobierania opłat za następujące usługi:</w:t>
      </w:r>
    </w:p>
    <w:p w14:paraId="5F1C83BE" w14:textId="77777777" w:rsidR="00A2234E" w:rsidRPr="00A2234E" w:rsidRDefault="00A2234E" w:rsidP="00A2234E">
      <w:pPr>
        <w:pStyle w:val="Teksttreci0"/>
        <w:numPr>
          <w:ilvl w:val="7"/>
          <w:numId w:val="43"/>
        </w:numPr>
        <w:shd w:val="clear" w:color="auto" w:fill="auto"/>
        <w:tabs>
          <w:tab w:val="left" w:pos="0"/>
          <w:tab w:val="left" w:pos="284"/>
        </w:tabs>
        <w:spacing w:after="0" w:line="276" w:lineRule="auto"/>
        <w:ind w:left="20" w:hanging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Otwarcie/zamknięcie rachunku bieżącego, pomocniczego,</w:t>
      </w:r>
    </w:p>
    <w:p w14:paraId="63F6E810" w14:textId="77777777" w:rsidR="00A2234E" w:rsidRPr="00A2234E" w:rsidRDefault="00A2234E" w:rsidP="00A2234E">
      <w:pPr>
        <w:pStyle w:val="Teksttreci0"/>
        <w:numPr>
          <w:ilvl w:val="7"/>
          <w:numId w:val="43"/>
        </w:numPr>
        <w:shd w:val="clear" w:color="auto" w:fill="auto"/>
        <w:tabs>
          <w:tab w:val="left" w:pos="0"/>
          <w:tab w:val="left" w:pos="284"/>
        </w:tabs>
        <w:spacing w:after="0" w:line="276" w:lineRule="auto"/>
        <w:ind w:left="20" w:hanging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Opłata za wyciągi z rachunku bankowego,</w:t>
      </w:r>
    </w:p>
    <w:p w14:paraId="12319810" w14:textId="77777777" w:rsidR="00A2234E" w:rsidRPr="00A2234E" w:rsidRDefault="00A2234E" w:rsidP="00A2234E">
      <w:pPr>
        <w:pStyle w:val="Teksttreci0"/>
        <w:numPr>
          <w:ilvl w:val="7"/>
          <w:numId w:val="43"/>
        </w:numPr>
        <w:shd w:val="clear" w:color="auto" w:fill="auto"/>
        <w:tabs>
          <w:tab w:val="left" w:pos="0"/>
          <w:tab w:val="left" w:pos="284"/>
        </w:tabs>
        <w:spacing w:after="0" w:line="276" w:lineRule="auto"/>
        <w:ind w:left="20" w:hanging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Instalacja i szkolenie w systemie bankowości elektronicznej,</w:t>
      </w:r>
    </w:p>
    <w:p w14:paraId="13A36705" w14:textId="77777777" w:rsidR="00A2234E" w:rsidRPr="00A2234E" w:rsidRDefault="00A2234E" w:rsidP="00A2234E">
      <w:pPr>
        <w:pStyle w:val="Teksttreci0"/>
        <w:numPr>
          <w:ilvl w:val="7"/>
          <w:numId w:val="43"/>
        </w:numPr>
        <w:shd w:val="clear" w:color="auto" w:fill="auto"/>
        <w:tabs>
          <w:tab w:val="left" w:pos="0"/>
          <w:tab w:val="left" w:pos="284"/>
        </w:tabs>
        <w:spacing w:after="0" w:line="276" w:lineRule="auto"/>
        <w:ind w:left="20" w:hanging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Opłat za wpłaty na rachunki bankowe Gminy i jej jednostek organizacyjnych przez osoby trzecie,</w:t>
      </w:r>
    </w:p>
    <w:p w14:paraId="7EB3F00C" w14:textId="77777777" w:rsidR="00A2234E" w:rsidRPr="00A2234E" w:rsidRDefault="00A2234E" w:rsidP="00A2234E">
      <w:pPr>
        <w:pStyle w:val="Teksttreci0"/>
        <w:numPr>
          <w:ilvl w:val="7"/>
          <w:numId w:val="43"/>
        </w:numPr>
        <w:shd w:val="clear" w:color="auto" w:fill="auto"/>
        <w:tabs>
          <w:tab w:val="left" w:pos="0"/>
          <w:tab w:val="left" w:pos="284"/>
        </w:tabs>
        <w:spacing w:after="0" w:line="276" w:lineRule="auto"/>
        <w:ind w:left="20" w:hanging="20"/>
        <w:jc w:val="both"/>
        <w:rPr>
          <w:rFonts w:ascii="Calibri Light" w:hAnsi="Calibri Light" w:cs="Calibri Light"/>
          <w:sz w:val="24"/>
          <w:szCs w:val="24"/>
        </w:rPr>
      </w:pPr>
      <w:bookmarkStart w:id="0" w:name="_Hlk207186420"/>
      <w:r w:rsidRPr="00A2234E">
        <w:rPr>
          <w:rFonts w:ascii="Calibri Light" w:hAnsi="Calibri Light" w:cs="Calibri Light"/>
          <w:sz w:val="24"/>
          <w:szCs w:val="24"/>
        </w:rPr>
        <w:t>Opłaty za przelewy/wpłaty na indywidualne rachunki podatników</w:t>
      </w:r>
      <w:bookmarkEnd w:id="0"/>
      <w:r w:rsidRPr="00A2234E">
        <w:rPr>
          <w:rFonts w:ascii="Calibri Light" w:hAnsi="Calibri Light" w:cs="Calibri Light"/>
          <w:sz w:val="24"/>
          <w:szCs w:val="24"/>
        </w:rPr>
        <w:t>,</w:t>
      </w:r>
    </w:p>
    <w:p w14:paraId="580CF644" w14:textId="77777777" w:rsidR="00A2234E" w:rsidRPr="00A2234E" w:rsidRDefault="00A2234E" w:rsidP="00A2234E">
      <w:pPr>
        <w:pStyle w:val="Teksttreci0"/>
        <w:numPr>
          <w:ilvl w:val="7"/>
          <w:numId w:val="43"/>
        </w:numPr>
        <w:shd w:val="clear" w:color="auto" w:fill="auto"/>
        <w:tabs>
          <w:tab w:val="left" w:pos="0"/>
          <w:tab w:val="left" w:pos="284"/>
        </w:tabs>
        <w:spacing w:after="442" w:line="276" w:lineRule="auto"/>
        <w:ind w:left="20" w:hanging="20"/>
        <w:jc w:val="both"/>
        <w:rPr>
          <w:rFonts w:ascii="Calibri Light" w:hAnsi="Calibri Light" w:cs="Calibri Light"/>
          <w:sz w:val="24"/>
          <w:szCs w:val="24"/>
        </w:rPr>
      </w:pPr>
      <w:r w:rsidRPr="00A2234E">
        <w:rPr>
          <w:rFonts w:ascii="Calibri Light" w:hAnsi="Calibri Light" w:cs="Calibri Light"/>
          <w:sz w:val="24"/>
          <w:szCs w:val="24"/>
        </w:rPr>
        <w:t>Prowizje ( opłaty ) od udzielonego kredytu w rachunku bieżącym.</w:t>
      </w:r>
    </w:p>
    <w:p w14:paraId="7446DD3F" w14:textId="77777777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rPr>
          <w:rFonts w:ascii="Calibri Light" w:hAnsi="Calibri Light" w:cs="Calibri Light"/>
          <w:b/>
          <w:sz w:val="24"/>
          <w:szCs w:val="24"/>
          <w:u w:val="single"/>
        </w:rPr>
      </w:pPr>
      <w:r w:rsidRPr="003C64DC">
        <w:rPr>
          <w:rFonts w:ascii="Calibri Light" w:hAnsi="Calibri Light" w:cs="Calibri Light"/>
          <w:b/>
          <w:sz w:val="24"/>
          <w:szCs w:val="24"/>
          <w:u w:val="single"/>
        </w:rPr>
        <w:t>Wyjaśnienia do wybranych usług:</w:t>
      </w:r>
    </w:p>
    <w:p w14:paraId="5DA2BD3C" w14:textId="77777777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rPr>
          <w:rFonts w:ascii="Calibri Light" w:hAnsi="Calibri Light" w:cs="Calibri Light"/>
          <w:b/>
          <w:sz w:val="24"/>
          <w:szCs w:val="24"/>
          <w:u w:val="single"/>
        </w:rPr>
      </w:pPr>
    </w:p>
    <w:p w14:paraId="474290AC" w14:textId="77777777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Ad. poz. 1 i 2.</w:t>
      </w:r>
    </w:p>
    <w:p w14:paraId="5FB4E336" w14:textId="77777777" w:rsidR="003C64DC" w:rsidRPr="003C64DC" w:rsidRDefault="003C64DC" w:rsidP="003C64DC">
      <w:pPr>
        <w:pStyle w:val="Teksttreci0"/>
        <w:shd w:val="clear" w:color="auto" w:fill="auto"/>
        <w:spacing w:after="141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 xml:space="preserve">W ramach przedmiotu zamówienia Wykonawca zobowiązany będzie do otwarcia i prowadzenia dla jednostek Gminy Lubartów - 6 sztuk rachunków bieżących i 75 sztuk rachunków pomocniczych (szacowana liczba na dzień sporządzenia oferty). Wyciągi bankowe mają być udostępniane w formie elektronicznej w systemie bankowości elektronicznej każdego następnego dnia roboczego za dzień roboczy poprzedni. Ponadto Wykonawca otworzy rachunki VAT w ilości wskazanej przez Zamawiającego. </w:t>
      </w:r>
    </w:p>
    <w:p w14:paraId="397D6875" w14:textId="77777777" w:rsidR="003C64DC" w:rsidRPr="003C64DC" w:rsidRDefault="003C64DC" w:rsidP="003C64DC">
      <w:pPr>
        <w:pStyle w:val="Teksttreci0"/>
        <w:shd w:val="clear" w:color="auto" w:fill="auto"/>
        <w:spacing w:after="98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Ad. poz. 3</w:t>
      </w:r>
    </w:p>
    <w:p w14:paraId="1B1D222E" w14:textId="77777777" w:rsidR="003C64DC" w:rsidRPr="003C64DC" w:rsidRDefault="003C64DC" w:rsidP="003C64DC">
      <w:pPr>
        <w:pStyle w:val="Teksttreci0"/>
        <w:shd w:val="clear" w:color="auto" w:fill="auto"/>
        <w:spacing w:after="138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Bank nie będzie pobierał prowizji i opłat od podatników, inkasentów i innych osób trzecich z tytułu wpłat dokonywanych w oddziałach banku na rachunki bankowe gminy i jej jednostek organizacyjnych. Bank nie będzie pobierał opłat za zrealizowane przelewy/wpłaty na indywidualne rachunki podatników.</w:t>
      </w:r>
    </w:p>
    <w:p w14:paraId="47B4F1BD" w14:textId="77777777" w:rsidR="003C64DC" w:rsidRPr="003C64DC" w:rsidRDefault="003C64DC" w:rsidP="003C64DC">
      <w:pPr>
        <w:pStyle w:val="Teksttreci0"/>
        <w:shd w:val="clear" w:color="auto" w:fill="auto"/>
        <w:spacing w:after="99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Ad. poz. 4</w:t>
      </w:r>
    </w:p>
    <w:p w14:paraId="03AAADE4" w14:textId="77777777" w:rsidR="003C64DC" w:rsidRPr="003C64DC" w:rsidRDefault="003C64DC" w:rsidP="003C64DC">
      <w:pPr>
        <w:pStyle w:val="Teksttreci0"/>
        <w:shd w:val="clear" w:color="auto" w:fill="auto"/>
        <w:spacing w:after="123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 xml:space="preserve">Abonament za korzystanie z bankowości elektronicznej dotyczy 6 jednostek. </w:t>
      </w:r>
    </w:p>
    <w:p w14:paraId="45DDA938" w14:textId="77777777" w:rsidR="003C64DC" w:rsidRPr="003C64DC" w:rsidRDefault="003C64DC" w:rsidP="003C64DC">
      <w:pPr>
        <w:pStyle w:val="Teksttreci0"/>
        <w:shd w:val="clear" w:color="auto" w:fill="auto"/>
        <w:spacing w:after="138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W przypadku konieczności korzystania z systemu bankowości elektronicznej przez większa liczbę jednostek/użytkowników koszty ponoszone przez Zamawiającego będą takie jak                        w złożonej ofercie.</w:t>
      </w:r>
    </w:p>
    <w:p w14:paraId="63B19552" w14:textId="77777777" w:rsidR="003C64DC" w:rsidRPr="003C64DC" w:rsidRDefault="003C64DC" w:rsidP="003C64DC">
      <w:pPr>
        <w:pStyle w:val="Teksttreci0"/>
        <w:shd w:val="clear" w:color="auto" w:fill="auto"/>
        <w:spacing w:after="104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lastRenderedPageBreak/>
        <w:t>Ad. poz. 5</w:t>
      </w:r>
    </w:p>
    <w:p w14:paraId="2EBA4BAC" w14:textId="77777777" w:rsidR="003C64DC" w:rsidRPr="003C64DC" w:rsidRDefault="003C64DC" w:rsidP="003C64DC">
      <w:pPr>
        <w:pStyle w:val="Teksttreci0"/>
        <w:shd w:val="clear" w:color="auto" w:fill="auto"/>
        <w:spacing w:after="135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 xml:space="preserve">Realizacji przelewów wewnętrznych (w banku obsługującym gminę), w systemie bankowości elektronicznej przyjęto założenie - na podstawie historii tych operacji w 2025 roku (I półrocze) – planowany okres 3 lat - 25.563 szt.  </w:t>
      </w:r>
    </w:p>
    <w:p w14:paraId="3BF5DA01" w14:textId="77777777" w:rsidR="003C64DC" w:rsidRPr="003C64DC" w:rsidRDefault="003C64DC" w:rsidP="003C64DC">
      <w:pPr>
        <w:pStyle w:val="Teksttreci0"/>
        <w:shd w:val="clear" w:color="auto" w:fill="auto"/>
        <w:spacing w:after="135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</w:p>
    <w:p w14:paraId="61B92E01" w14:textId="77777777" w:rsidR="003C64DC" w:rsidRPr="003C64DC" w:rsidRDefault="003C64DC" w:rsidP="003C64DC">
      <w:pPr>
        <w:pStyle w:val="Teksttreci0"/>
        <w:shd w:val="clear" w:color="auto" w:fill="auto"/>
        <w:spacing w:after="101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Ad. poz. 6</w:t>
      </w:r>
    </w:p>
    <w:p w14:paraId="1826CDCF" w14:textId="77777777" w:rsidR="003C64DC" w:rsidRPr="003C64DC" w:rsidRDefault="003C64DC" w:rsidP="003C64DC">
      <w:pPr>
        <w:pStyle w:val="Teksttreci0"/>
        <w:shd w:val="clear" w:color="auto" w:fill="auto"/>
        <w:spacing w:after="135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 xml:space="preserve">Realizacji przelewów do innych banków w systemie bankowości elektronicznej do niniejszego przetargu przyjęto założenie na podstawie historii tych operacji w 2025 roku (I półrocze) - planowany okres 3 lat - 53.106 szt.  </w:t>
      </w:r>
    </w:p>
    <w:p w14:paraId="23B231D4" w14:textId="77777777" w:rsidR="003C64DC" w:rsidRPr="003C64DC" w:rsidRDefault="003C64DC" w:rsidP="003C64DC">
      <w:pPr>
        <w:pStyle w:val="Teksttreci0"/>
        <w:shd w:val="clear" w:color="auto" w:fill="auto"/>
        <w:spacing w:after="138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Ad. poz. 7</w:t>
      </w:r>
    </w:p>
    <w:p w14:paraId="062E4B44" w14:textId="77777777" w:rsidR="003C64DC" w:rsidRPr="003C64DC" w:rsidRDefault="003C64DC" w:rsidP="003C64DC">
      <w:pPr>
        <w:pStyle w:val="Teksttreci0"/>
        <w:shd w:val="clear" w:color="auto" w:fill="auto"/>
        <w:spacing w:after="123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W ramach przedmiotu zamówienia wykonawca będzie zobowiązany do udzielania kredytu w rachunku bieżącym na pokrycie przejściowego deficytu budżetu .</w:t>
      </w:r>
    </w:p>
    <w:p w14:paraId="390A1A7D" w14:textId="77777777" w:rsidR="003C64DC" w:rsidRPr="003C64DC" w:rsidRDefault="003C64DC" w:rsidP="003C64DC">
      <w:pPr>
        <w:pStyle w:val="Teksttreci0"/>
        <w:shd w:val="clear" w:color="auto" w:fill="auto"/>
        <w:spacing w:after="117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Dla porównania ofert, przyjęto założenie, że kredyt na występujący w trakcie roku przejściowy deficyt budżetowy, postawiony do dyspozycji przez bank będzie wynosił w każdym roku realizacji umowy 8.000.000,00 zł. Kwota kredytu w rachunku bieżącym w okresie wykonywania zamówienia w kolejnym roku budżetowym będzie wynikała z uchwały budżetowej i upoważnienia dla Wójta Gminy Lubartów do zaciągania kredytu w rachunku bieżącym na sfinansowanie przejściowego deficytu.</w:t>
      </w:r>
    </w:p>
    <w:p w14:paraId="53A6FC62" w14:textId="77777777" w:rsidR="003C64DC" w:rsidRPr="003C64DC" w:rsidRDefault="003C64DC" w:rsidP="003C64DC">
      <w:pPr>
        <w:pStyle w:val="Teksttreci0"/>
        <w:shd w:val="clear" w:color="auto" w:fill="auto"/>
        <w:spacing w:after="12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W związku z tym, iż Zamawiający nie jest w stanie określić, zarówno wysokości w każdym roku budżetowym, okresu w jakim kredyt może być wykorzystywany i wysokości salda w konkretnym dniu, dla porównania ofert należy założyć, że kredyt będzie wykorzystany przez 60 dni w roku w pełnej wysokości, tj. 8 mln zł.</w:t>
      </w:r>
    </w:p>
    <w:p w14:paraId="482D26AD" w14:textId="77777777" w:rsidR="003C64DC" w:rsidRPr="003C64DC" w:rsidRDefault="003C64DC" w:rsidP="003C64DC">
      <w:pPr>
        <w:pStyle w:val="Teksttreci0"/>
        <w:shd w:val="clear" w:color="auto" w:fill="auto"/>
        <w:spacing w:after="12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Do obliczenia wysokości oprocentowania kredytu w rachunku bieżącym, należy przyjąć aktualną stawkę WIBOR 1 M tj. 4,94 % i stałą marżę Wykonawcy.</w:t>
      </w:r>
    </w:p>
    <w:p w14:paraId="073183FB" w14:textId="77777777" w:rsidR="003C64DC" w:rsidRPr="003C64DC" w:rsidRDefault="003C64DC" w:rsidP="003C64DC">
      <w:pPr>
        <w:pStyle w:val="Teksttreci0"/>
        <w:shd w:val="clear" w:color="auto" w:fill="auto"/>
        <w:spacing w:after="12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Marża wykonawcy za udzielenie kredytu stanowić będzie jedyne wynagrodzenie Wykonawcy należne mu z tytułu udzielenia kredytu.</w:t>
      </w:r>
    </w:p>
    <w:p w14:paraId="11A0F274" w14:textId="77777777" w:rsidR="003C64DC" w:rsidRPr="003C64DC" w:rsidRDefault="003C64DC" w:rsidP="003C64DC">
      <w:pPr>
        <w:pStyle w:val="Teksttreci0"/>
        <w:shd w:val="clear" w:color="auto" w:fill="auto"/>
        <w:spacing w:after="123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Zamawiający oczekuje w momencie składania oferty na bankową obsługę budżetu, oferty wiążącej Wykonawcę w zakresie udzielenia kredytu w okresie obowiązywania umowy na obsługę bankową.</w:t>
      </w:r>
    </w:p>
    <w:p w14:paraId="6681FD71" w14:textId="77777777" w:rsidR="003C64DC" w:rsidRPr="003C64DC" w:rsidRDefault="003C64DC" w:rsidP="003C64DC">
      <w:pPr>
        <w:pStyle w:val="Teksttreci0"/>
        <w:shd w:val="clear" w:color="auto" w:fill="auto"/>
        <w:spacing w:after="59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Formuła naliczania oprocentowania, zawarta w umowie będzie następująca:</w:t>
      </w:r>
    </w:p>
    <w:p w14:paraId="23E4C5D3" w14:textId="77777777" w:rsidR="003C64DC" w:rsidRPr="003C64DC" w:rsidRDefault="003C64DC" w:rsidP="003C64DC">
      <w:pPr>
        <w:pStyle w:val="Teksttreci0"/>
        <w:numPr>
          <w:ilvl w:val="8"/>
          <w:numId w:val="43"/>
        </w:numPr>
        <w:shd w:val="clear" w:color="auto" w:fill="auto"/>
        <w:tabs>
          <w:tab w:val="left" w:pos="214"/>
        </w:tabs>
        <w:spacing w:after="45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Kredyt będzie oprocentowany wg zmiennej stopy procentowej w stosunku rocznym.</w:t>
      </w:r>
    </w:p>
    <w:p w14:paraId="1A85E71A" w14:textId="77777777" w:rsidR="003C64DC" w:rsidRPr="003C64DC" w:rsidRDefault="003C64DC" w:rsidP="003C64DC">
      <w:pPr>
        <w:pStyle w:val="Teksttreci0"/>
        <w:numPr>
          <w:ilvl w:val="8"/>
          <w:numId w:val="43"/>
        </w:numPr>
        <w:shd w:val="clear" w:color="auto" w:fill="auto"/>
        <w:tabs>
          <w:tab w:val="left" w:pos="258"/>
        </w:tabs>
        <w:spacing w:after="438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Oprocentowanie będzie obliczane wg stawki WIBOR 1M aktualizowanej każdego dnia i marży banku wynoszącej ....%.</w:t>
      </w:r>
    </w:p>
    <w:p w14:paraId="1DFF93CF" w14:textId="77777777" w:rsidR="003C64DC" w:rsidRPr="003C64DC" w:rsidRDefault="003C64DC" w:rsidP="003C64DC">
      <w:pPr>
        <w:pStyle w:val="Teksttreci0"/>
        <w:shd w:val="clear" w:color="auto" w:fill="auto"/>
        <w:spacing w:after="48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Ad. poz. 9</w:t>
      </w:r>
    </w:p>
    <w:p w14:paraId="70D62AFD" w14:textId="77777777" w:rsidR="003C64DC" w:rsidRPr="003C64DC" w:rsidRDefault="003C64DC" w:rsidP="003C64DC">
      <w:pPr>
        <w:pStyle w:val="Teksttreci0"/>
        <w:shd w:val="clear" w:color="auto" w:fill="auto"/>
        <w:spacing w:after="120" w:line="276" w:lineRule="auto"/>
        <w:ind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lastRenderedPageBreak/>
        <w:t>Zamawiający wymaga od wykonawców, aby rachunki były oprocentowane według zmiennej stopy procentowej.</w:t>
      </w:r>
    </w:p>
    <w:p w14:paraId="633C0DFD" w14:textId="77777777" w:rsidR="003C64DC" w:rsidRPr="003C64DC" w:rsidRDefault="003C64DC" w:rsidP="003C64DC">
      <w:pPr>
        <w:pStyle w:val="Teksttreci0"/>
        <w:shd w:val="clear" w:color="auto" w:fill="auto"/>
        <w:spacing w:after="12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Oprocentowanie będzie obliczane według stawki WIBID 1 M.</w:t>
      </w:r>
    </w:p>
    <w:p w14:paraId="11F19A46" w14:textId="77777777" w:rsidR="003C64DC" w:rsidRPr="003C64DC" w:rsidRDefault="003C64DC" w:rsidP="003C64DC">
      <w:pPr>
        <w:pStyle w:val="Teksttreci0"/>
        <w:shd w:val="clear" w:color="auto" w:fill="auto"/>
        <w:spacing w:after="42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 xml:space="preserve">Wymaga się, aby powyższa formuła naliczania oprocentowania była zawarta w umowie. </w:t>
      </w:r>
    </w:p>
    <w:p w14:paraId="7CB83077" w14:textId="77777777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 xml:space="preserve">Dla ustalenia oprocentowania, należy przyjąć stawkę WIBID 1M w wysokości 4,78 % oraz średniomiesięczne saldo na wszystkich rachunkach w wysokości 5.000.000,00 zł. </w:t>
      </w:r>
    </w:p>
    <w:p w14:paraId="4128388C" w14:textId="77777777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Należy przyjąć, że rok ma 365 dni.</w:t>
      </w:r>
    </w:p>
    <w:p w14:paraId="3F0E1B51" w14:textId="77777777" w:rsidR="003C64DC" w:rsidRPr="003C64DC" w:rsidRDefault="003C64DC" w:rsidP="003C64DC">
      <w:pPr>
        <w:pStyle w:val="Teksttreci0"/>
        <w:shd w:val="clear" w:color="auto" w:fill="auto"/>
        <w:spacing w:after="106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</w:p>
    <w:p w14:paraId="1B3ABEB5" w14:textId="77777777" w:rsidR="003C64DC" w:rsidRPr="003C64DC" w:rsidRDefault="003C64DC" w:rsidP="003C64DC">
      <w:pPr>
        <w:pStyle w:val="Teksttreci0"/>
        <w:shd w:val="clear" w:color="auto" w:fill="auto"/>
        <w:spacing w:after="106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Zamawiający oczekuje, że Wykonawca w ramach realizacji zamówienia:</w:t>
      </w:r>
    </w:p>
    <w:p w14:paraId="37B2D5C9" w14:textId="77777777" w:rsidR="003C64DC" w:rsidRPr="003C64DC" w:rsidRDefault="003C64DC" w:rsidP="003C64DC">
      <w:pPr>
        <w:pStyle w:val="Teksttreci0"/>
        <w:numPr>
          <w:ilvl w:val="0"/>
          <w:numId w:val="44"/>
        </w:numPr>
        <w:shd w:val="clear" w:color="auto" w:fill="auto"/>
        <w:spacing w:after="54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zapewni obsługę pracowników Zamawiającego podczas dokonywania wpłat i wypłat gotówkowych w imieniu zamawiającego w siedzibie Wykonawcy oraz załatwiania innych spraw związanych z przedmiotem niniejszego zamówienia,</w:t>
      </w:r>
    </w:p>
    <w:p w14:paraId="62C0440D" w14:textId="77777777" w:rsidR="003C64DC" w:rsidRPr="003C64DC" w:rsidRDefault="003C64DC" w:rsidP="003C64DC">
      <w:pPr>
        <w:pStyle w:val="Teksttreci0"/>
        <w:numPr>
          <w:ilvl w:val="0"/>
          <w:numId w:val="44"/>
        </w:numPr>
        <w:shd w:val="clear" w:color="auto" w:fill="auto"/>
        <w:spacing w:after="54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zapewni wykonywanie czynności związanych z obsługą kasową (wpłat i wypłat gotówkowych ) w każdym dniu roboczym w godzinach pracy banku,</w:t>
      </w:r>
    </w:p>
    <w:p w14:paraId="04FFA43B" w14:textId="77777777" w:rsidR="003C64DC" w:rsidRPr="003C64DC" w:rsidRDefault="003C64DC" w:rsidP="003C64DC">
      <w:pPr>
        <w:pStyle w:val="Teksttreci0"/>
        <w:numPr>
          <w:ilvl w:val="0"/>
          <w:numId w:val="44"/>
        </w:numPr>
        <w:shd w:val="clear" w:color="auto" w:fill="auto"/>
        <w:spacing w:after="54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>będzie na wniosek zamawiającego potwierdzał stan salda na rachunkach bankowych, wydawał zaświadczenia i świadczył pozostałe usługi bankowe.</w:t>
      </w:r>
    </w:p>
    <w:p w14:paraId="5E4C286C" w14:textId="77777777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jc w:val="both"/>
        <w:rPr>
          <w:rFonts w:ascii="Calibri Light" w:hAnsi="Calibri Light" w:cs="Calibri Light"/>
          <w:color w:val="FF0000"/>
          <w:sz w:val="24"/>
          <w:szCs w:val="24"/>
        </w:rPr>
      </w:pPr>
    </w:p>
    <w:p w14:paraId="2AB7B1E5" w14:textId="2AE77966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 w:rsidRPr="003C64DC">
        <w:rPr>
          <w:rFonts w:ascii="Calibri Light" w:hAnsi="Calibri Light" w:cs="Calibri Light"/>
          <w:sz w:val="24"/>
          <w:szCs w:val="24"/>
        </w:rPr>
        <w:t xml:space="preserve">Powyższy zakres usług dotyczy następujących jednostek organizacyjnych zamawiającego (według stanu na dzień </w:t>
      </w:r>
      <w:r w:rsidR="00C61215">
        <w:rPr>
          <w:rFonts w:ascii="Calibri Light" w:hAnsi="Calibri Light" w:cs="Calibri Light"/>
          <w:sz w:val="24"/>
          <w:szCs w:val="24"/>
        </w:rPr>
        <w:t>ogłoszenia zamówienia</w:t>
      </w:r>
      <w:r w:rsidRPr="003C64DC">
        <w:rPr>
          <w:rFonts w:ascii="Calibri Light" w:hAnsi="Calibri Light" w:cs="Calibri Light"/>
          <w:sz w:val="24"/>
          <w:szCs w:val="24"/>
        </w:rPr>
        <w:t>):</w:t>
      </w:r>
    </w:p>
    <w:p w14:paraId="64305EED" w14:textId="6371B0F4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Pr="003C64DC">
        <w:rPr>
          <w:rFonts w:ascii="Calibri Light" w:hAnsi="Calibri Light" w:cs="Calibri Light"/>
          <w:sz w:val="24"/>
          <w:szCs w:val="24"/>
        </w:rPr>
        <w:t>Urząd Gminy Lubartów,</w:t>
      </w:r>
    </w:p>
    <w:p w14:paraId="2EB6A7E7" w14:textId="6C6E6DA8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Pr="003C64DC">
        <w:rPr>
          <w:rFonts w:ascii="Calibri Light" w:hAnsi="Calibri Light" w:cs="Calibri Light"/>
          <w:sz w:val="24"/>
          <w:szCs w:val="24"/>
        </w:rPr>
        <w:t>Gminny Ośrodek Pomocy Społecznej w Lubartowie,</w:t>
      </w:r>
    </w:p>
    <w:p w14:paraId="305421C9" w14:textId="73BB1DAD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142" w:hanging="122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Pr="003C64DC">
        <w:rPr>
          <w:rFonts w:ascii="Calibri Light" w:hAnsi="Calibri Light" w:cs="Calibri Light"/>
          <w:sz w:val="24"/>
          <w:szCs w:val="24"/>
        </w:rPr>
        <w:t>Samorządowy Zespół Administracyjny Szkół w Lubartowie (obsługa w ramach rachunków pomocniczych 5 szkół podstawowych i 1 zespołu szkolno-przedszkolnego),</w:t>
      </w:r>
    </w:p>
    <w:p w14:paraId="26A0DFD5" w14:textId="3AD0B4F6" w:rsidR="003C64DC" w:rsidRPr="003C64DC" w:rsidRDefault="003C64DC" w:rsidP="003C64DC">
      <w:pPr>
        <w:pStyle w:val="Teksttreci0"/>
        <w:shd w:val="clear" w:color="auto" w:fill="auto"/>
        <w:spacing w:after="0" w:line="276" w:lineRule="auto"/>
        <w:ind w:left="20" w:firstLine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r w:rsidRPr="003C64DC">
        <w:rPr>
          <w:rFonts w:ascii="Calibri Light" w:hAnsi="Calibri Light" w:cs="Calibri Light"/>
          <w:sz w:val="24"/>
          <w:szCs w:val="24"/>
        </w:rPr>
        <w:t>Gminny Ośrodek Sportu i Rekreacji w Wólce Rokickiej,</w:t>
      </w:r>
    </w:p>
    <w:p w14:paraId="5AA49707" w14:textId="2A088DE7" w:rsidR="00E91331" w:rsidRPr="003C64DC" w:rsidRDefault="003C64DC" w:rsidP="003C64DC">
      <w:pPr>
        <w:pStyle w:val="NormalnyWeb"/>
        <w:spacing w:before="0" w:beforeAutospacing="0" w:line="276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Pr="003C64DC">
        <w:rPr>
          <w:rFonts w:ascii="Calibri Light" w:hAnsi="Calibri Light" w:cs="Calibri Light"/>
        </w:rPr>
        <w:t xml:space="preserve">Gminna Biblioteka Publiczna w Lubartowie,                                                                                                    </w:t>
      </w:r>
      <w:r>
        <w:rPr>
          <w:rFonts w:ascii="Calibri Light" w:hAnsi="Calibri Light" w:cs="Calibri Light"/>
        </w:rPr>
        <w:t xml:space="preserve">- </w:t>
      </w:r>
      <w:r w:rsidRPr="003C64DC">
        <w:rPr>
          <w:rFonts w:ascii="Calibri Light" w:hAnsi="Calibri Light" w:cs="Calibri Light"/>
        </w:rPr>
        <w:t>Zakład Usług Komunalnych i Mieszkaniowych w Lubartowie</w:t>
      </w:r>
      <w:r w:rsidR="006D7AED">
        <w:rPr>
          <w:rFonts w:ascii="Calibri Light" w:hAnsi="Calibri Light" w:cs="Calibri Light"/>
        </w:rPr>
        <w:t>.</w:t>
      </w:r>
    </w:p>
    <w:p w14:paraId="024D60F7" w14:textId="07A7D7D9" w:rsidR="00617BB0" w:rsidRPr="00617BB0" w:rsidRDefault="00617BB0" w:rsidP="00617BB0">
      <w:pPr>
        <w:autoSpaceDE w:val="0"/>
        <w:autoSpaceDN w:val="0"/>
        <w:adjustRightInd w:val="0"/>
        <w:spacing w:after="0"/>
        <w:jc w:val="both"/>
        <w:rPr>
          <w:rFonts w:ascii="Calibri Light" w:eastAsia="MS Mincho" w:hAnsi="Calibri Light" w:cs="Calibri Light"/>
          <w:b/>
          <w:bCs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b/>
          <w:bCs/>
          <w:sz w:val="24"/>
          <w:szCs w:val="24"/>
          <w:lang w:eastAsia="pl-PL"/>
        </w:rPr>
        <w:t>Klauzula zmian umowy</w:t>
      </w:r>
    </w:p>
    <w:p w14:paraId="6D8D8299" w14:textId="77777777" w:rsidR="00617BB0" w:rsidRPr="00617BB0" w:rsidRDefault="00617BB0" w:rsidP="00617BB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libri Light" w:eastAsia="Calibri" w:hAnsi="Calibri Light" w:cs="Calibri Light"/>
          <w:sz w:val="24"/>
          <w:szCs w:val="24"/>
        </w:rPr>
      </w:pPr>
      <w:r w:rsidRPr="00617BB0">
        <w:rPr>
          <w:rFonts w:ascii="Calibri Light" w:hAnsi="Calibri Light" w:cs="Calibri Light"/>
          <w:sz w:val="24"/>
          <w:szCs w:val="24"/>
        </w:rPr>
        <w:t>Oprócz przypadków, o których mowa w art. 454 i 455 ustawy – Prawo zamówień publicznych, strony dopuszczają możliwość wprowadzania zmiany umowy w stosunku do treści oferty, na podstawie której dokonano wyboru Wykonawcy, w przypadku wystąpienia którejkolwiek z następujących okoliczności:</w:t>
      </w:r>
    </w:p>
    <w:p w14:paraId="68D8217E" w14:textId="77777777" w:rsidR="00617BB0" w:rsidRPr="00617BB0" w:rsidRDefault="00617BB0" w:rsidP="00617BB0">
      <w:pPr>
        <w:numPr>
          <w:ilvl w:val="1"/>
          <w:numId w:val="37"/>
        </w:numPr>
        <w:autoSpaceDE w:val="0"/>
        <w:autoSpaceDN w:val="0"/>
        <w:adjustRightInd w:val="0"/>
        <w:spacing w:after="0"/>
        <w:ind w:left="851" w:hanging="284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617BB0">
        <w:rPr>
          <w:rFonts w:ascii="Calibri Light" w:hAnsi="Calibri Light" w:cs="Calibri Light"/>
          <w:sz w:val="24"/>
          <w:szCs w:val="24"/>
        </w:rPr>
        <w:t>zmiana terminu wykonania zamówienia lub zakresu świadczeń lub sposobu wykonywania zamówienia może nastąpić w przypadku zmiany powszechnie obowiązujących przepisów prawa w zakresie mającym bezpośredni wpływ na termin realizacji przedmiotu zamówienia lub zakres świadczeń stron umowy lub sposób jej wykonywania,</w:t>
      </w:r>
    </w:p>
    <w:p w14:paraId="4689BD8F" w14:textId="77777777" w:rsidR="00617BB0" w:rsidRPr="00617BB0" w:rsidRDefault="00617BB0" w:rsidP="00617BB0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</w:rPr>
      </w:pPr>
      <w:r w:rsidRPr="00617BB0">
        <w:rPr>
          <w:rFonts w:ascii="Calibri Light" w:hAnsi="Calibri Light" w:cs="Calibri Light"/>
          <w:sz w:val="24"/>
          <w:szCs w:val="24"/>
        </w:rPr>
        <w:t>Strony przewidują zmianę umowy w przypadku zmiany:</w:t>
      </w:r>
    </w:p>
    <w:p w14:paraId="2D39E82C" w14:textId="77777777" w:rsidR="00617BB0" w:rsidRPr="00617BB0" w:rsidRDefault="00617BB0" w:rsidP="00617BB0">
      <w:pPr>
        <w:numPr>
          <w:ilvl w:val="2"/>
          <w:numId w:val="46"/>
        </w:numPr>
        <w:spacing w:after="0"/>
        <w:ind w:left="993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lastRenderedPageBreak/>
        <w:t>stawki podatku od towarów i usług VAT oraz podatku akcyzowego. Stawka i kwota podatku oraz wynagrodzenie brutto ulegną zmianie odpowiednio do przepisów prawa wprowadzających zmianę stawki podatku, co oznacza, że Zamawiający dopuszcza możliwość zmniejszenia i zwiększenia wynagrodzenia brutto o kwotę równą różnicy wynikającej ze zmienionej stawki podatku - dotyczy to części wynagrodzenia za świadczenia, których w dniu zmiany stawki podatku jeszcze nie wykonano;</w:t>
      </w:r>
    </w:p>
    <w:p w14:paraId="218CB5EE" w14:textId="77777777" w:rsidR="00617BB0" w:rsidRPr="00617BB0" w:rsidRDefault="00617BB0" w:rsidP="00617BB0">
      <w:pPr>
        <w:numPr>
          <w:ilvl w:val="2"/>
          <w:numId w:val="46"/>
        </w:numPr>
        <w:spacing w:after="0"/>
        <w:ind w:left="993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 xml:space="preserve">zmiany wysokości minimalnego wynagrodzenia za pracę albo minimalnej stawki godzinowej ustalonego na podstawie art. 2 ust. 3-5 ustawy z dnia 10 października 2002 r. o minimalnym wynagrodzeniu za pracę. Wynagrodzenie może ulec zmianie odpowiednio do zmiany wysokości kosztów pracy ponoszonych przez Wykonawcę </w:t>
      </w: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br/>
        <w:t>w związku z realizacją przedmiotowego zamówienia, o ile zmiana kosztów pracy wynika ze zmiany przepisów prawa dot. wysokości minimalnego wynagrodzenia za pracę albo minimalnej stawki godzinowej i ma wpływ na koszt wykonywania zamówienia przez Wykonawcę. Wprowadzenie przedmiotowych zmian wynagrodzenia możliwe będzie, jeżeli Wykonawca:</w:t>
      </w:r>
    </w:p>
    <w:p w14:paraId="2E2C2C0D" w14:textId="77777777" w:rsidR="00617BB0" w:rsidRPr="00617BB0" w:rsidRDefault="00617BB0" w:rsidP="00617BB0">
      <w:pPr>
        <w:numPr>
          <w:ilvl w:val="3"/>
          <w:numId w:val="47"/>
        </w:numPr>
        <w:spacing w:after="0"/>
        <w:ind w:left="1418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udowodni, że zmiana w/w przepisów będzie miała wpływ na koszty wykonania zamówienia przez Wykonawcę,</w:t>
      </w:r>
    </w:p>
    <w:p w14:paraId="6FA2B83A" w14:textId="77777777" w:rsidR="00617BB0" w:rsidRPr="00617BB0" w:rsidRDefault="00617BB0" w:rsidP="00617BB0">
      <w:pPr>
        <w:numPr>
          <w:ilvl w:val="3"/>
          <w:numId w:val="47"/>
        </w:numPr>
        <w:spacing w:after="0"/>
        <w:ind w:left="1418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wykaże, jaką część wynagrodzenia stanowią koszty pracy ponoszone przez Wykonawcę w trakcie realizacji zamówienia oraz jak zmiana przepisów wpłynie na wysokość tych kosztów.</w:t>
      </w:r>
    </w:p>
    <w:p w14:paraId="50826A2D" w14:textId="77777777" w:rsidR="00617BB0" w:rsidRPr="00617BB0" w:rsidRDefault="00617BB0" w:rsidP="00617BB0">
      <w:pPr>
        <w:spacing w:after="0"/>
        <w:ind w:left="709"/>
        <w:contextualSpacing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>Zamawiający zastrzega sobie prawo do wniesienia zastrzeżeń dotyczących wysokości kosztów pracy przedstawionych przez Wykonawcę.</w:t>
      </w:r>
    </w:p>
    <w:p w14:paraId="363029C6" w14:textId="77777777" w:rsidR="00617BB0" w:rsidRPr="00617BB0" w:rsidRDefault="00617BB0" w:rsidP="00617BB0">
      <w:pPr>
        <w:numPr>
          <w:ilvl w:val="2"/>
          <w:numId w:val="46"/>
        </w:numPr>
        <w:spacing w:after="0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zmiany zasad podlegania ubezpieczeniom społecznym lub ubezpieczeniu zdrowotnemu lub wysokości stawki składki na ubezpieczenia społeczne lub zdrowotne. Wynagrodzenie może ulec zmianie odpowiednio do zmiany wysokości kosztów ponoszonych przez Wykonawcę w związku z realizacją przedmiotowego zamówienia, o ile zmiana tych kosztów wynika ze zmiany przepisów prawa dot. zasad podlegania ubezpieczeniom społecznym lub ubezpieczeniu zdrowotnemu lub wysokości stawki składki na ubezpieczenia społeczne lub zdrowotne i ma wpływ na koszt wykonywania zamówienia przez Wykonawcę. Wprowadzenie przedmiotowych zmian wynagrodzenia możliwe będzie, jeżeli Wykonawca:</w:t>
      </w:r>
    </w:p>
    <w:p w14:paraId="70BF5A35" w14:textId="77777777" w:rsidR="00617BB0" w:rsidRPr="00617BB0" w:rsidRDefault="00617BB0" w:rsidP="00617BB0">
      <w:pPr>
        <w:numPr>
          <w:ilvl w:val="3"/>
          <w:numId w:val="37"/>
        </w:numPr>
        <w:spacing w:after="0"/>
        <w:ind w:left="1560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udowodni, że zmiana w/w przepisów będzie miała wpływ na koszty wykonania zamówienia przez Wykonawcę,</w:t>
      </w:r>
    </w:p>
    <w:p w14:paraId="77F495D1" w14:textId="77777777" w:rsidR="00617BB0" w:rsidRPr="00617BB0" w:rsidRDefault="00617BB0" w:rsidP="00617BB0">
      <w:pPr>
        <w:numPr>
          <w:ilvl w:val="3"/>
          <w:numId w:val="37"/>
        </w:numPr>
        <w:spacing w:after="0"/>
        <w:ind w:left="1560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wykaże, jaką część wynagrodzenia stanowią koszty pracy ponoszone przez Wykonawcę w trakcie realizacji zamówienia oraz jak zmiana przepisów wpłynie na wysokość tych kosztów.</w:t>
      </w:r>
    </w:p>
    <w:p w14:paraId="7D2468C9" w14:textId="77777777" w:rsidR="00617BB0" w:rsidRPr="00617BB0" w:rsidRDefault="00617BB0" w:rsidP="00617BB0">
      <w:pPr>
        <w:numPr>
          <w:ilvl w:val="2"/>
          <w:numId w:val="46"/>
        </w:numPr>
        <w:spacing w:after="0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 xml:space="preserve">zmiany zasad gromadzenia i wysokości wpłat do pracowniczych planów kapitałowych, o których mowa w ustawie z dnia 4 października 2018 r. o pracowniczych planach kapitałowych.  Wynagrodzenie może ulec zmianie odpowiednio do zmiany wysokości kosztów ponoszonych przez Wykonawcę w związku z realizacją przedmiotowego </w:t>
      </w: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lastRenderedPageBreak/>
        <w:t>zamówienia, o ile zmiana tych kosztów wynika ze zmiany przepisów prawa dot. zasad gromadzenia i wysokości wpłat do pracowniczych planów kapitałowych i ma wpływ na koszt wykonywania zamówienia przez Wykonawcę. Wprowadzenie przedmiotowych zmian wynagrodzenia możliwe będzie, jeżeli Wykonawca:</w:t>
      </w:r>
    </w:p>
    <w:p w14:paraId="78D4DC94" w14:textId="77777777" w:rsidR="00617BB0" w:rsidRPr="00617BB0" w:rsidRDefault="00617BB0" w:rsidP="00617BB0">
      <w:pPr>
        <w:numPr>
          <w:ilvl w:val="1"/>
          <w:numId w:val="48"/>
        </w:numPr>
        <w:spacing w:after="0"/>
        <w:ind w:left="1276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udowodni, że zmiana w/w przepisów będzie miała wpływ na koszty wykonania zamówienia przez Wykonawcę,</w:t>
      </w:r>
    </w:p>
    <w:p w14:paraId="191F19D2" w14:textId="77777777" w:rsidR="00617BB0" w:rsidRPr="00617BB0" w:rsidRDefault="00617BB0" w:rsidP="00617BB0">
      <w:pPr>
        <w:numPr>
          <w:ilvl w:val="1"/>
          <w:numId w:val="48"/>
        </w:numPr>
        <w:spacing w:after="0"/>
        <w:ind w:left="1276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wykaże, jaką część wynagrodzenia stanowią koszty pracy ponoszone przez Wykonawcę w trakcie realizacji zamówienia oraz jak zmiana przepisów wpłynie na wysokość tych kosztów.</w:t>
      </w:r>
    </w:p>
    <w:p w14:paraId="592E5119" w14:textId="77777777" w:rsidR="00617BB0" w:rsidRPr="00617BB0" w:rsidRDefault="00617BB0" w:rsidP="00617BB0">
      <w:pPr>
        <w:spacing w:after="0"/>
        <w:ind w:left="709"/>
        <w:contextualSpacing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>Zamawiający zastrzega sobie prawo do wniesienia zastrzeżeń dotyczących wysokości kosztów pracy przedstawionych przez Wykonawcę.</w:t>
      </w:r>
    </w:p>
    <w:p w14:paraId="60EA14AE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bookmarkStart w:id="1" w:name="_Hlk143693545"/>
      <w:r w:rsidRPr="00617BB0">
        <w:rPr>
          <w:rFonts w:ascii="Calibri Light" w:hAnsi="Calibri Light" w:cs="Calibri Light"/>
          <w:sz w:val="24"/>
          <w:szCs w:val="24"/>
          <w:lang w:eastAsia="pl-PL"/>
        </w:rPr>
        <w:t>Strona wnioskująca o zmianę wskazaną w ust. 2 musi wykazać środkami dowodowymi, że zmiany, o których mowa w ust. 2 mają bezpośredni wpływ na wysokość wynagrodzenia wykonawcy tj. wykazać, że zmiany wskazane w ust. 2 wymuszają podwyższenie kosztów wykonania</w:t>
      </w:r>
      <w:bookmarkEnd w:id="1"/>
      <w:r w:rsidRPr="00617BB0">
        <w:rPr>
          <w:rFonts w:ascii="Calibri Light" w:hAnsi="Calibri Light" w:cs="Calibri Light"/>
          <w:sz w:val="24"/>
          <w:szCs w:val="24"/>
          <w:lang w:eastAsia="pl-PL"/>
        </w:rPr>
        <w:t>.</w:t>
      </w:r>
    </w:p>
    <w:p w14:paraId="0F2846EF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Wykonawca zobowiązany jest w terminie wskazanym przez Zamawiającego przedłożyć Zamawiającemu na piśmie szczegółową analizę porównawczą kosztów (przed i po nowelizacji) stanowiącą wykaz poniesionych wydatków w związku ze zmianą ww. przepisów z powołaniem się na stosowne przepisy, z których wynikają ww. zmiany,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br/>
        <w:t xml:space="preserve">|a także przedłożyć konieczne dokumenty (w tym oświadczenia dla celów podatkowych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br/>
        <w:t xml:space="preserve">i ZUS). </w:t>
      </w:r>
    </w:p>
    <w:p w14:paraId="1735EBA2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W przypadku wystąpienia okoliczności, o których mowa w ust. 2 pkt 1) część wynagrodzenia brutto Wykonawcy, o którym mowa w § 3 ust. 1 umowy, płatna po zaistnieniu ww. okoliczności, ulegnie zmianie o wartość różnicy pomiędzy nową wartością podatku od towarów i usług (ustaloną w oparciu o stawkę podatku od towarów i usług po zmianie), a dotychczasową wartością podatku od towarów i usług (ustaloną w oparciu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br/>
        <w:t>o stawkę podatku od towarów i usług przed zmianą). W takiej sytuacji wynagrodzenie brutto będzie obejmowało stawkę i wartość obowiązującą w dniu wystawienia faktury. Wynagrodzenie netto Wykonawcy nie ulegnie zmianie.</w:t>
      </w:r>
    </w:p>
    <w:p w14:paraId="0A9D7128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bookmarkStart w:id="2" w:name="_Hlk143693918"/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W przypadku wystąpienia okoliczności, o których mowa w ust. 2 pkt. 2) część wynagrodzenie brutto Wykonawcy, o którym mowa w § 3 ust. 1 umowy, płatna po zaistnieniu ww. okoliczności, ulegnie zmianie o wartość zmiany kosztu Wykonawcy, wynikającą ze zmiany kwoty wynagrodzeń osób bezpośrednio wykonujących przedmiot umowy podanych w dokumentach, o których mowa w ust. 8, do wysokości aktualnie obowiązującego minimalnego wynagrodzenia lub minimalnej stawki godzinowej,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br/>
        <w:t>z uwzględnieniem wszystkich obciążeń publicznoprawnych od kwoty zmiany minimalnego wynagrodzenia lub minimalnej stawki godzinowej tych osób.</w:t>
      </w:r>
    </w:p>
    <w:bookmarkEnd w:id="2"/>
    <w:p w14:paraId="550AD410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W przypadku wystąpienia okoliczności, o których mowa w ust. 2 pkt 3) część wynagrodzenie brutto Wykonawcy, o którym mowa w § 3 ust. 1 umowy, płatna po zaistnieniu ww. okoliczności, po spełnieniu warunku, o którym mowa w ust. 8,  ulegnie zmianie o wartość zmiany kosztu Wykonawcy, jaką będzie on zobowiązany dodatkowo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lastRenderedPageBreak/>
        <w:t>ponieść w celu uwzględnienia tej zmiany, przy zachowaniu dotychczasowe kwoty netto wynagrodzenia osób bezpośrednio wykonujących zamówienie na rzecz Zamawiającego podanych w dokumencie, o którym mowa w ust. 9.</w:t>
      </w:r>
    </w:p>
    <w:p w14:paraId="1B763D0F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Warunkiem dokonania zmiany wynagrodzenia Wykonawcy, o której mowa w ust. 2 pkt 2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br/>
        <w:t xml:space="preserve">i 3 jest złożenie przez Wykonawcę Zamawiającemu wniosku o zmianę wynagrodzenia wraz z dokumentami potwierdzającymi zasadność złożenia takiego wniosku,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br/>
        <w:t>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 z ww. zmianami mającymi wpływ na wykonanie przedmiotu umowy. Na podstawie przedłożonych wraz z wnioskiem, o którym mowa w zdaniu poprzednim dokumentów Wykonawca powinien wykazać, że zaistniała zmiana ma bezpośredni wpływ na koszty wykonania zamówienia oraz określić stopień, w jakim wpłynie ona na wysokość wynagrodzenia.</w:t>
      </w:r>
    </w:p>
    <w:p w14:paraId="22113AB9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>Ciężar dowodu, że okoliczności wymienione w ust. 2 pkt 2 i 3 mają wpływ na koszty wykonania zamówienia spoczywa na Wykonawcy.</w:t>
      </w:r>
    </w:p>
    <w:p w14:paraId="0A068F9F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bookmarkStart w:id="3" w:name="_Hlk143694110"/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Zmiany wysokości wynagrodzenia, o których mowa w ust. 2 umowy mogą zostać dokonane ze skutkiem nie wcześniej niż na dzień wejścia w życie przepisów, z których wynikają te zmiany. </w:t>
      </w:r>
    </w:p>
    <w:p w14:paraId="38C07405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bookmarkStart w:id="4" w:name="_Hlk143694180"/>
      <w:bookmarkEnd w:id="3"/>
      <w:r w:rsidRPr="00617BB0">
        <w:rPr>
          <w:rFonts w:ascii="Calibri Light" w:hAnsi="Calibri Light" w:cs="Calibri Light"/>
          <w:sz w:val="24"/>
          <w:szCs w:val="24"/>
          <w:lang w:eastAsia="pl-PL"/>
        </w:rPr>
        <w:t>Zmiany, o których mowa w ust. 2 mogą być dokonane tylko, jeżeli jest to niezbędne dla prawidłowego wykonania umowy lub umowy o dofinansowanie projektu.</w:t>
      </w:r>
    </w:p>
    <w:bookmarkEnd w:id="4"/>
    <w:p w14:paraId="4A2FB291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Nie stanowi zmiany istotnej umowy w rozumieniu art. 454 ustawy Prawo zamówień publicznych: </w:t>
      </w:r>
    </w:p>
    <w:p w14:paraId="22E23AD8" w14:textId="77777777" w:rsidR="00617BB0" w:rsidRPr="00617BB0" w:rsidRDefault="00617BB0" w:rsidP="00617BB0">
      <w:pPr>
        <w:numPr>
          <w:ilvl w:val="1"/>
          <w:numId w:val="49"/>
        </w:numPr>
        <w:spacing w:after="0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 xml:space="preserve">zmiana danych teleadresowych; </w:t>
      </w:r>
    </w:p>
    <w:p w14:paraId="5BF845F6" w14:textId="77777777" w:rsidR="00617BB0" w:rsidRPr="00617BB0" w:rsidRDefault="00617BB0" w:rsidP="00617BB0">
      <w:pPr>
        <w:numPr>
          <w:ilvl w:val="1"/>
          <w:numId w:val="49"/>
        </w:numPr>
        <w:spacing w:after="0"/>
        <w:contextualSpacing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>zmiana danych związanych z obsługą administracyjno-organizacyjną Umowy (np. zmiana nr rachunku bankowego);</w:t>
      </w:r>
    </w:p>
    <w:p w14:paraId="5EA0D1DF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/>
        <w:contextualSpacing/>
        <w:jc w:val="both"/>
        <w:rPr>
          <w:rFonts w:ascii="Calibri Light" w:eastAsia="Calibri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>Strona, która występuje z propozycją zmiany umowy, w oparciu o przedstawiony powyżej katalog zmian umowy zobowiązana jest do sporządzenia i uzasadnienia wniosku o taką zmianę. Wszelkie zmiany umowy dla swej ważności wymagają formy pisemnej w postaci aneksu do umowy.</w:t>
      </w:r>
    </w:p>
    <w:p w14:paraId="5AA03A3E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 xml:space="preserve">Wszelkie zmiany umowy wymagają pod rygorem nieważności formy pisemnej </w:t>
      </w:r>
      <w:r w:rsidRPr="00617BB0">
        <w:rPr>
          <w:rFonts w:ascii="Calibri Light" w:hAnsi="Calibri Light" w:cs="Calibri Light"/>
          <w:sz w:val="24"/>
          <w:szCs w:val="24"/>
          <w:lang w:eastAsia="pl-PL"/>
        </w:rPr>
        <w:br/>
        <w:t>i podpisania przez obydwie strony umowy.</w:t>
      </w:r>
    </w:p>
    <w:p w14:paraId="4FE73B62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>Z wnioskiem o zmianę umowy może wystąpić zarówno Wykonawca, jak i Zamawiający.</w:t>
      </w:r>
    </w:p>
    <w:p w14:paraId="74DDF6CA" w14:textId="77777777" w:rsidR="00617BB0" w:rsidRPr="00617BB0" w:rsidRDefault="00617BB0" w:rsidP="00617BB0">
      <w:pPr>
        <w:numPr>
          <w:ilvl w:val="0"/>
          <w:numId w:val="45"/>
        </w:numPr>
        <w:spacing w:after="0"/>
        <w:ind w:left="426" w:hanging="426"/>
        <w:contextualSpacing/>
        <w:jc w:val="both"/>
        <w:rPr>
          <w:rFonts w:ascii="Calibri Light" w:hAnsi="Calibri Light" w:cs="Calibri Light"/>
          <w:sz w:val="24"/>
          <w:szCs w:val="24"/>
          <w:lang w:eastAsia="pl-PL"/>
        </w:rPr>
      </w:pPr>
      <w:r w:rsidRPr="00617BB0">
        <w:rPr>
          <w:rFonts w:ascii="Calibri Light" w:hAnsi="Calibri Light" w:cs="Calibri Light"/>
          <w:sz w:val="24"/>
          <w:szCs w:val="24"/>
          <w:lang w:eastAsia="pl-PL"/>
        </w:rPr>
        <w:t>Wszystkie powyższe postanowienia stanowią katalog zmian, na które Zamawiający może wyrazić zgodę. Nie stanowią one jednak zobowiązania do wyrażenia takiej zgody.</w:t>
      </w:r>
    </w:p>
    <w:p w14:paraId="02519B92" w14:textId="77777777" w:rsidR="00617BB0" w:rsidRPr="00617BB0" w:rsidRDefault="00617BB0" w:rsidP="00617BB0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FC9F101" w14:textId="77777777" w:rsidR="00617BB0" w:rsidRPr="00617BB0" w:rsidRDefault="00617BB0" w:rsidP="00617BB0">
      <w:pPr>
        <w:spacing w:after="0"/>
        <w:ind w:left="360" w:hanging="360"/>
        <w:jc w:val="both"/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</w:pPr>
      <w:r w:rsidRPr="00617BB0">
        <w:rPr>
          <w:rFonts w:ascii="Calibri Light" w:eastAsia="Times New Roman" w:hAnsi="Calibri Light" w:cs="Calibri Light"/>
          <w:b/>
          <w:bCs/>
          <w:sz w:val="24"/>
          <w:szCs w:val="24"/>
          <w:lang w:eastAsia="pl-PL"/>
        </w:rPr>
        <w:t>Klauzula waloryzacyjna:</w:t>
      </w:r>
    </w:p>
    <w:p w14:paraId="512F7959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66"/>
          <w:tab w:val="left" w:pos="509"/>
        </w:tabs>
        <w:autoSpaceDE w:val="0"/>
        <w:autoSpaceDN w:val="0"/>
        <w:spacing w:after="0"/>
        <w:ind w:left="426" w:right="128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 xml:space="preserve">Na zasadach określonych w Umowie, na podstawie art. 439 ust. 1 i 2 ustawy PZP, Strony będą </w:t>
      </w: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 xml:space="preserve">waloryzowały koszty realizacji czynności wchodzących w skład przedmiotu </w:t>
      </w: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lastRenderedPageBreak/>
        <w:t xml:space="preserve">Umowy („Waloryzacja”).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 xml:space="preserve">Waloryzacja będzie polegała na podwyższeniu albo obniżeniu ceny ryczałtowej za prowadzenie rachunków bankowych (waloryzacji na podstawie niniejszego paragrafu nie podlega koszt kredytu) prowadzenia w tym całkowitej wartości Umowy, na zasadach opisanych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br/>
        <w:t>w niniejszym paragrafie.</w:t>
      </w:r>
    </w:p>
    <w:p w14:paraId="254F2ED7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66"/>
          <w:tab w:val="left" w:pos="509"/>
        </w:tabs>
        <w:autoSpaceDE w:val="0"/>
        <w:autoSpaceDN w:val="0"/>
        <w:spacing w:after="0"/>
        <w:ind w:left="426" w:right="130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Żadna ze Stron nie będzie uprawniona wystąpić z wnioskiem o dokonanie Waloryzacji wcześniej niż 6 miesięcy od dnia zawarcia Umowy.</w:t>
      </w:r>
    </w:p>
    <w:p w14:paraId="69C4A9F9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65"/>
          <w:tab w:val="left" w:pos="509"/>
        </w:tabs>
        <w:autoSpaceDE w:val="0"/>
        <w:autoSpaceDN w:val="0"/>
        <w:spacing w:after="0"/>
        <w:ind w:left="426" w:right="119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Po upływie terminu, o</w:t>
      </w:r>
      <w:r w:rsidRPr="00617BB0">
        <w:rPr>
          <w:rFonts w:ascii="Calibri Light" w:eastAsia="MS Mincho" w:hAnsi="Calibri Light" w:cs="Calibri Light"/>
          <w:spacing w:val="-1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którym mowa w ust. 2, w przypadku zmiany kosztów realizacji przedmiotu Umowy w związku ze wzrostem albo obniżeniem cen określonym we wskaźniku cen towarów i usług konsumpcyjnych ogółem za poprzedni kwartał („Wskaźnik GUS”) ogłaszanym w formie komunikatu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Prezesa</w:t>
      </w:r>
      <w:r w:rsidRPr="00617BB0">
        <w:rPr>
          <w:rFonts w:ascii="Calibri Light" w:eastAsia="MS Mincho" w:hAnsi="Calibri Light" w:cs="Calibri Light"/>
          <w:spacing w:val="-9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Głównego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Urzędu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Statystycznego,</w:t>
      </w:r>
      <w:r w:rsidRPr="00617BB0">
        <w:rPr>
          <w:rFonts w:ascii="Calibri Light" w:eastAsia="MS Mincho" w:hAnsi="Calibri Light" w:cs="Calibri Light"/>
          <w:spacing w:val="-6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o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którym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mowa</w:t>
      </w:r>
      <w:r w:rsidRPr="00617BB0">
        <w:rPr>
          <w:rFonts w:ascii="Calibri Light" w:eastAsia="MS Mincho" w:hAnsi="Calibri Light" w:cs="Calibri Light"/>
          <w:spacing w:val="-9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</w:t>
      </w:r>
      <w:r w:rsidRPr="00617BB0">
        <w:rPr>
          <w:rFonts w:ascii="Calibri Light" w:eastAsia="MS Mincho" w:hAnsi="Calibri Light" w:cs="Calibri Light"/>
          <w:spacing w:val="-6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art.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25</w:t>
      </w:r>
      <w:r w:rsidRPr="00617BB0">
        <w:rPr>
          <w:rFonts w:ascii="Calibri Light" w:eastAsia="MS Mincho" w:hAnsi="Calibri Light" w:cs="Calibri Light"/>
          <w:spacing w:val="-1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ust.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11</w:t>
      </w:r>
      <w:r w:rsidRPr="00617BB0">
        <w:rPr>
          <w:rFonts w:ascii="Calibri Light" w:eastAsia="MS Mincho" w:hAnsi="Calibri Light" w:cs="Calibri Light"/>
          <w:spacing w:val="-1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ustawy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 xml:space="preserve">z dnia 17 grudnia 1998 r. o emeryturach i rentach z Funduszu Ubezpieczeń Społecznych (Dz.U. z 2023 r., poz. 1251 z </w:t>
      </w:r>
      <w:proofErr w:type="spellStart"/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późn</w:t>
      </w:r>
      <w:proofErr w:type="spellEnd"/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 xml:space="preserve">. zm.) każda ze Stron może wystąpić do drugiej Strony z pisemnym wnioskiem o dokonanie Waloryzacji. We wniosku zostaną wskazane nowe wartości każdej z Cen Jednostkowych na zasadach opisanych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br/>
        <w:t>w niniejszym paragrafie.</w:t>
      </w:r>
    </w:p>
    <w:p w14:paraId="38B99451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65"/>
          <w:tab w:val="left" w:pos="509"/>
        </w:tabs>
        <w:autoSpaceDE w:val="0"/>
        <w:autoSpaceDN w:val="0"/>
        <w:spacing w:after="0"/>
        <w:ind w:left="426" w:right="127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 xml:space="preserve">Każda ze Stron będzie uprawniona wystąpić do drugiej Strony z wnioskiem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br/>
        <w:t>o dokonanie Waloryzacji</w:t>
      </w:r>
      <w:r w:rsidRPr="00617BB0">
        <w:rPr>
          <w:rFonts w:ascii="Calibri Light" w:eastAsia="MS Mincho" w:hAnsi="Calibri Light" w:cs="Calibri Light"/>
          <w:spacing w:val="-15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każdorazowo</w:t>
      </w:r>
      <w:r w:rsidRPr="00617BB0">
        <w:rPr>
          <w:rFonts w:ascii="Calibri Light" w:eastAsia="MS Mincho" w:hAnsi="Calibri Light" w:cs="Calibri Light"/>
          <w:spacing w:val="-11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po</w:t>
      </w:r>
      <w:r w:rsidRPr="00617BB0">
        <w:rPr>
          <w:rFonts w:ascii="Calibri Light" w:eastAsia="MS Mincho" w:hAnsi="Calibri Light" w:cs="Calibri Light"/>
          <w:spacing w:val="-1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komunikacie</w:t>
      </w:r>
      <w:r w:rsidRPr="00617BB0">
        <w:rPr>
          <w:rFonts w:ascii="Calibri Light" w:eastAsia="MS Mincho" w:hAnsi="Calibri Light" w:cs="Calibri Light"/>
          <w:spacing w:val="-1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Prezesa</w:t>
      </w:r>
      <w:r w:rsidRPr="00617BB0">
        <w:rPr>
          <w:rFonts w:ascii="Calibri Light" w:eastAsia="MS Mincho" w:hAnsi="Calibri Light" w:cs="Calibri Light"/>
          <w:spacing w:val="-15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Głównego</w:t>
      </w:r>
      <w:r w:rsidRPr="00617BB0">
        <w:rPr>
          <w:rFonts w:ascii="Calibri Light" w:eastAsia="MS Mincho" w:hAnsi="Calibri Light" w:cs="Calibri Light"/>
          <w:spacing w:val="-15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Urzędu</w:t>
      </w:r>
      <w:r w:rsidRPr="00617BB0">
        <w:rPr>
          <w:rFonts w:ascii="Calibri Light" w:eastAsia="MS Mincho" w:hAnsi="Calibri Light" w:cs="Calibri Light"/>
          <w:spacing w:val="-1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Statystycznego</w:t>
      </w:r>
      <w:r w:rsidRPr="00617BB0">
        <w:rPr>
          <w:rFonts w:ascii="Calibri Light" w:eastAsia="MS Mincho" w:hAnsi="Calibri Light" w:cs="Calibri Light"/>
          <w:spacing w:val="-15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ogłaszającym kolejny Wskaźnik GUS, z zastrzeżeniem ust. 2 i 5.</w:t>
      </w:r>
    </w:p>
    <w:p w14:paraId="427BBF9E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65"/>
          <w:tab w:val="left" w:pos="509"/>
        </w:tabs>
        <w:autoSpaceDE w:val="0"/>
        <w:autoSpaceDN w:val="0"/>
        <w:spacing w:after="0"/>
        <w:ind w:left="426" w:right="124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Ewentualna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Waloryzacja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będzie</w:t>
      </w:r>
      <w:r w:rsidRPr="00617BB0">
        <w:rPr>
          <w:rFonts w:ascii="Calibri Light" w:eastAsia="MS Mincho" w:hAnsi="Calibri Light" w:cs="Calibri Light"/>
          <w:spacing w:val="-7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ustalana</w:t>
      </w:r>
      <w:r w:rsidRPr="00617BB0">
        <w:rPr>
          <w:rFonts w:ascii="Calibri Light" w:eastAsia="MS Mincho" w:hAnsi="Calibri Light" w:cs="Calibri Light"/>
          <w:spacing w:val="-9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przez</w:t>
      </w:r>
      <w:r w:rsidRPr="00617BB0">
        <w:rPr>
          <w:rFonts w:ascii="Calibri Light" w:eastAsia="MS Mincho" w:hAnsi="Calibri Light" w:cs="Calibri Light"/>
          <w:spacing w:val="-1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Strony</w:t>
      </w:r>
      <w:r w:rsidRPr="00617BB0">
        <w:rPr>
          <w:rFonts w:ascii="Calibri Light" w:eastAsia="MS Mincho" w:hAnsi="Calibri Light" w:cs="Calibri Light"/>
          <w:spacing w:val="-7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</w:t>
      </w:r>
      <w:r w:rsidRPr="00617BB0">
        <w:rPr>
          <w:rFonts w:ascii="Calibri Light" w:eastAsia="MS Mincho" w:hAnsi="Calibri Light" w:cs="Calibri Light"/>
          <w:spacing w:val="-9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drodze</w:t>
      </w:r>
      <w:r w:rsidRPr="00617BB0">
        <w:rPr>
          <w:rFonts w:ascii="Calibri Light" w:eastAsia="MS Mincho" w:hAnsi="Calibri Light" w:cs="Calibri Light"/>
          <w:spacing w:val="-9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aneksu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do</w:t>
      </w:r>
      <w:r w:rsidRPr="00617BB0">
        <w:rPr>
          <w:rFonts w:ascii="Calibri Light" w:eastAsia="MS Mincho" w:hAnsi="Calibri Light" w:cs="Calibri Light"/>
          <w:spacing w:val="-1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Umowy</w:t>
      </w:r>
      <w:r w:rsidRPr="00617BB0">
        <w:rPr>
          <w:rFonts w:ascii="Calibri Light" w:eastAsia="MS Mincho" w:hAnsi="Calibri Light" w:cs="Calibri Light"/>
          <w:spacing w:val="-7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ze</w:t>
      </w:r>
      <w:r w:rsidRPr="00617BB0">
        <w:rPr>
          <w:rFonts w:ascii="Calibri Light" w:eastAsia="MS Mincho" w:hAnsi="Calibri Light" w:cs="Calibri Light"/>
          <w:spacing w:val="-7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skutkiem</w:t>
      </w:r>
      <w:r w:rsidRPr="00617BB0">
        <w:rPr>
          <w:rFonts w:ascii="Calibri Light" w:eastAsia="MS Mincho" w:hAnsi="Calibri Light" w:cs="Calibri Light"/>
          <w:spacing w:val="-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od dnia opublikowania komunikatu Prezesa Głównego Urzędu Statystycznego ogłaszającego Wskaźnik GUS („Dzień Ustalenia Waloryzacji”).</w:t>
      </w:r>
    </w:p>
    <w:p w14:paraId="2072E239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65"/>
          <w:tab w:val="left" w:pos="509"/>
        </w:tabs>
        <w:autoSpaceDE w:val="0"/>
        <w:autoSpaceDN w:val="0"/>
        <w:spacing w:after="0"/>
        <w:ind w:left="426" w:right="120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Wnioskowana zmiana Cen Jednostkowych nastąpi pod warunkiem, iż wartość Wskaźnika GUS ogłoszonego</w:t>
      </w:r>
      <w:r w:rsidRPr="00617BB0">
        <w:rPr>
          <w:rFonts w:ascii="Calibri Light" w:eastAsia="MS Mincho" w:hAnsi="Calibri Light" w:cs="Calibri Light"/>
          <w:spacing w:val="-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</w:t>
      </w:r>
      <w:r w:rsidRPr="00617BB0">
        <w:rPr>
          <w:rFonts w:ascii="Calibri Light" w:eastAsia="MS Mincho" w:hAnsi="Calibri Light" w:cs="Calibri Light"/>
          <w:spacing w:val="-4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Dniu</w:t>
      </w:r>
      <w:r w:rsidRPr="00617BB0">
        <w:rPr>
          <w:rFonts w:ascii="Calibri Light" w:eastAsia="MS Mincho" w:hAnsi="Calibri Light" w:cs="Calibri Light"/>
          <w:spacing w:val="-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Ustalania</w:t>
      </w:r>
      <w:r w:rsidRPr="00617BB0">
        <w:rPr>
          <w:rFonts w:ascii="Calibri Light" w:eastAsia="MS Mincho" w:hAnsi="Calibri Light" w:cs="Calibri Light"/>
          <w:spacing w:val="-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Waloryzacji</w:t>
      </w:r>
      <w:r w:rsidRPr="00617BB0">
        <w:rPr>
          <w:rFonts w:ascii="Calibri Light" w:eastAsia="MS Mincho" w:hAnsi="Calibri Light" w:cs="Calibri Light"/>
          <w:spacing w:val="-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będzie</w:t>
      </w:r>
      <w:r w:rsidRPr="00617BB0">
        <w:rPr>
          <w:rFonts w:ascii="Calibri Light" w:eastAsia="MS Mincho" w:hAnsi="Calibri Light" w:cs="Calibri Light"/>
          <w:spacing w:val="-2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wskazywała</w:t>
      </w:r>
      <w:r w:rsidRPr="00617BB0">
        <w:rPr>
          <w:rFonts w:ascii="Calibri Light" w:eastAsia="MS Mincho" w:hAnsi="Calibri Light" w:cs="Calibri Light"/>
          <w:spacing w:val="-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na</w:t>
      </w:r>
      <w:r w:rsidRPr="00617BB0">
        <w:rPr>
          <w:rFonts w:ascii="Calibri Light" w:eastAsia="MS Mincho" w:hAnsi="Calibri Light" w:cs="Calibri Light"/>
          <w:spacing w:val="-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wzrost</w:t>
      </w:r>
      <w:r w:rsidRPr="00617BB0">
        <w:rPr>
          <w:rFonts w:ascii="Calibri Light" w:eastAsia="MS Mincho" w:hAnsi="Calibri Light" w:cs="Calibri Light"/>
          <w:spacing w:val="-2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lub</w:t>
      </w:r>
      <w:r w:rsidRPr="00617BB0">
        <w:rPr>
          <w:rFonts w:ascii="Calibri Light" w:eastAsia="MS Mincho" w:hAnsi="Calibri Light" w:cs="Calibri Light"/>
          <w:spacing w:val="-2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spadek</w:t>
      </w:r>
      <w:r w:rsidRPr="00617BB0">
        <w:rPr>
          <w:rFonts w:ascii="Calibri Light" w:eastAsia="MS Mincho" w:hAnsi="Calibri Light" w:cs="Calibri Light"/>
          <w:spacing w:val="-2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cen</w:t>
      </w:r>
      <w:r w:rsidRPr="00617BB0">
        <w:rPr>
          <w:rFonts w:ascii="Calibri Light" w:eastAsia="MS Mincho" w:hAnsi="Calibri Light" w:cs="Calibri Light"/>
          <w:spacing w:val="-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towarów i usług konsumpcyjnych o co najmniej 5 punktów procentowych w stosunku do poprzedniego kwartału („Próg Waloryzacji").</w:t>
      </w:r>
    </w:p>
    <w:p w14:paraId="725D65AB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58"/>
          <w:tab w:val="left" w:pos="509"/>
        </w:tabs>
        <w:autoSpaceDE w:val="0"/>
        <w:autoSpaceDN w:val="0"/>
        <w:spacing w:after="0"/>
        <w:ind w:left="426" w:right="127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Ewentualna zmiana Cen Jednostkowych, nastąpi o wielkość stanowiącą połowę (50%) wartości wzrostu albo obniżenia cen określonego we Wskaźniku GUS ogłoszonym w Dniu Ustalania Waloryzacji.</w:t>
      </w:r>
    </w:p>
    <w:p w14:paraId="04123D79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58"/>
          <w:tab w:val="left" w:pos="509"/>
        </w:tabs>
        <w:autoSpaceDE w:val="0"/>
        <w:autoSpaceDN w:val="0"/>
        <w:spacing w:after="0"/>
        <w:ind w:left="426" w:right="131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Pod warunkiem przekroczenia Progu Waloryzacji, w przypadku, gdy Wskaźnik GUS ogłoszony w Dniu Ustalania Waloryzacji będzie wartością dodatnią Ceny Jednostkowe ulegną zwiększeniu o wielkość wskazaną w ust. 5</w:t>
      </w:r>
    </w:p>
    <w:p w14:paraId="4ACCF13F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58"/>
          <w:tab w:val="left" w:pos="509"/>
        </w:tabs>
        <w:autoSpaceDE w:val="0"/>
        <w:autoSpaceDN w:val="0"/>
        <w:spacing w:after="0"/>
        <w:ind w:left="426" w:right="128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Pod warunkiem przekroczenia Progu Waloryzacji, w przypadku, gdy Wskaźnik GUS ogłoszony w Dniu Ustalania Waloryzacji będzie wartością ujemną Ceny Jednostkowe ulegną zmniejszeniu o wielkość wskazaną w ust. 5.</w:t>
      </w:r>
    </w:p>
    <w:p w14:paraId="334FD0C2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58"/>
        </w:tabs>
        <w:autoSpaceDE w:val="0"/>
        <w:autoSpaceDN w:val="0"/>
        <w:spacing w:after="0"/>
        <w:ind w:left="426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Nowe</w:t>
      </w:r>
      <w:r w:rsidRPr="00617BB0">
        <w:rPr>
          <w:rFonts w:ascii="Calibri Light" w:eastAsia="MS Mincho" w:hAnsi="Calibri Light" w:cs="Calibri Light"/>
          <w:spacing w:val="4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wartości</w:t>
      </w:r>
      <w:r w:rsidRPr="00617BB0">
        <w:rPr>
          <w:rFonts w:ascii="Calibri Light" w:eastAsia="MS Mincho" w:hAnsi="Calibri Light" w:cs="Calibri Light"/>
          <w:spacing w:val="41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Cen</w:t>
      </w:r>
      <w:r w:rsidRPr="00617BB0">
        <w:rPr>
          <w:rFonts w:ascii="Calibri Light" w:eastAsia="MS Mincho" w:hAnsi="Calibri Light" w:cs="Calibri Light"/>
          <w:spacing w:val="4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Jednostkowych</w:t>
      </w:r>
      <w:r w:rsidRPr="00617BB0">
        <w:rPr>
          <w:rFonts w:ascii="Calibri Light" w:eastAsia="MS Mincho" w:hAnsi="Calibri Light" w:cs="Calibri Light"/>
          <w:spacing w:val="41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będą</w:t>
      </w:r>
      <w:r w:rsidRPr="00617BB0">
        <w:rPr>
          <w:rFonts w:ascii="Calibri Light" w:eastAsia="MS Mincho" w:hAnsi="Calibri Light" w:cs="Calibri Light"/>
          <w:spacing w:val="41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dotyczyć</w:t>
      </w:r>
      <w:r w:rsidRPr="00617BB0">
        <w:rPr>
          <w:rFonts w:ascii="Calibri Light" w:eastAsia="MS Mincho" w:hAnsi="Calibri Light" w:cs="Calibri Light"/>
          <w:spacing w:val="4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zapłaty</w:t>
      </w:r>
      <w:r w:rsidRPr="00617BB0">
        <w:rPr>
          <w:rFonts w:ascii="Calibri Light" w:eastAsia="MS Mincho" w:hAnsi="Calibri Light" w:cs="Calibri Light"/>
          <w:spacing w:val="41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należnej</w:t>
      </w:r>
      <w:r w:rsidRPr="00617BB0">
        <w:rPr>
          <w:rFonts w:ascii="Calibri Light" w:eastAsia="MS Mincho" w:hAnsi="Calibri Light" w:cs="Calibri Light"/>
          <w:spacing w:val="48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Wykonawcy</w:t>
      </w:r>
      <w:r w:rsidRPr="00617BB0">
        <w:rPr>
          <w:rFonts w:ascii="Calibri Light" w:eastAsia="MS Mincho" w:hAnsi="Calibri Light" w:cs="Calibri Light"/>
          <w:spacing w:val="42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za</w:t>
      </w:r>
      <w:r w:rsidRPr="00617BB0">
        <w:rPr>
          <w:rFonts w:ascii="Calibri Light" w:eastAsia="MS Mincho" w:hAnsi="Calibri Light" w:cs="Calibri Light"/>
          <w:spacing w:val="40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spacing w:val="-2"/>
          <w:w w:val="105"/>
          <w:sz w:val="24"/>
          <w:szCs w:val="24"/>
          <w:lang w:eastAsia="pl-PL"/>
        </w:rPr>
        <w:t>czynności</w:t>
      </w:r>
      <w:r w:rsidRPr="00617BB0">
        <w:rPr>
          <w:rFonts w:ascii="Calibri Light" w:eastAsia="MS Mincho" w:hAnsi="Calibri Light" w:cs="Calibri Light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odebrane</w:t>
      </w:r>
      <w:r w:rsidRPr="00617BB0">
        <w:rPr>
          <w:rFonts w:ascii="Calibri Light" w:eastAsia="MS Mincho" w:hAnsi="Calibri Light" w:cs="Calibri Light"/>
          <w:spacing w:val="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po</w:t>
      </w:r>
      <w:r w:rsidRPr="00617BB0">
        <w:rPr>
          <w:rFonts w:ascii="Calibri Light" w:eastAsia="MS Mincho" w:hAnsi="Calibri Light" w:cs="Calibri Light"/>
          <w:spacing w:val="4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Dniu</w:t>
      </w:r>
      <w:r w:rsidRPr="00617BB0">
        <w:rPr>
          <w:rFonts w:ascii="Calibri Light" w:eastAsia="MS Mincho" w:hAnsi="Calibri Light" w:cs="Calibri Light"/>
          <w:spacing w:val="4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>Ustalania</w:t>
      </w:r>
      <w:r w:rsidRPr="00617BB0">
        <w:rPr>
          <w:rFonts w:ascii="Calibri Light" w:eastAsia="MS Mincho" w:hAnsi="Calibri Light" w:cs="Calibri Light"/>
          <w:spacing w:val="3"/>
          <w:w w:val="105"/>
          <w:sz w:val="24"/>
          <w:szCs w:val="24"/>
          <w:lang w:eastAsia="pl-PL"/>
        </w:rPr>
        <w:t xml:space="preserve"> </w:t>
      </w:r>
      <w:r w:rsidRPr="00617BB0">
        <w:rPr>
          <w:rFonts w:ascii="Calibri Light" w:eastAsia="MS Mincho" w:hAnsi="Calibri Light" w:cs="Calibri Light"/>
          <w:spacing w:val="-2"/>
          <w:w w:val="105"/>
          <w:sz w:val="24"/>
          <w:szCs w:val="24"/>
          <w:lang w:eastAsia="pl-PL"/>
        </w:rPr>
        <w:t>Waloryzacji.</w:t>
      </w:r>
    </w:p>
    <w:p w14:paraId="18087846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58"/>
          <w:tab w:val="left" w:pos="509"/>
        </w:tabs>
        <w:autoSpaceDE w:val="0"/>
        <w:autoSpaceDN w:val="0"/>
        <w:spacing w:after="0"/>
        <w:ind w:left="426" w:right="126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 xml:space="preserve">Strony ustalają maksymalną wartość obniżenia albo wzrostu wartości przedmiotu Umowy w efekcie zastosowania Waloryzacji na poziomie nie większym niż 5% całkowitego wynagrodzenia brutto w części dotyczącej prowadzenia rachunków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lastRenderedPageBreak/>
        <w:t>bankowych.</w:t>
      </w:r>
    </w:p>
    <w:p w14:paraId="17FAC816" w14:textId="77777777" w:rsidR="00617BB0" w:rsidRPr="00617BB0" w:rsidRDefault="00617BB0" w:rsidP="00617BB0">
      <w:pPr>
        <w:widowControl w:val="0"/>
        <w:numPr>
          <w:ilvl w:val="0"/>
          <w:numId w:val="36"/>
        </w:numPr>
        <w:tabs>
          <w:tab w:val="left" w:pos="458"/>
          <w:tab w:val="left" w:pos="509"/>
        </w:tabs>
        <w:autoSpaceDE w:val="0"/>
        <w:autoSpaceDN w:val="0"/>
        <w:spacing w:after="0"/>
        <w:ind w:left="426" w:right="123" w:hanging="426"/>
        <w:jc w:val="both"/>
        <w:rPr>
          <w:rFonts w:ascii="Calibri Light" w:eastAsia="MS Mincho" w:hAnsi="Calibri Light" w:cs="Calibri Light"/>
          <w:sz w:val="24"/>
          <w:szCs w:val="24"/>
          <w:lang w:eastAsia="pl-PL"/>
        </w:rPr>
      </w:pP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t xml:space="preserve">Wykonawca, który uzyska Waloryzację zobowiązany jest do zmiany wynagrodzenia przysługującego podwykonawcy, z którym zawarł umowę, </w:t>
      </w:r>
      <w:r w:rsidRPr="00617BB0">
        <w:rPr>
          <w:rFonts w:ascii="Calibri Light" w:eastAsia="MS Mincho" w:hAnsi="Calibri Light" w:cs="Calibri Light"/>
          <w:w w:val="105"/>
          <w:sz w:val="24"/>
          <w:szCs w:val="24"/>
          <w:lang w:eastAsia="pl-PL"/>
        </w:rPr>
        <w:br/>
        <w:t>w zakresie odpowiadającym zmianom kosztów dotyczących zobowiązania podwykonawcy, jeżeli łącznie spełnione są następujące warunki: (i) przedmiotem umowy są dostawy lub usługi oraz (ii) okres obowiązywania umowy przekracza 6 miesięcy.</w:t>
      </w:r>
    </w:p>
    <w:p w14:paraId="0ADA9F61" w14:textId="77777777" w:rsidR="00617BB0" w:rsidRPr="00617BB0" w:rsidRDefault="00617BB0" w:rsidP="00617BB0">
      <w:pPr>
        <w:spacing w:after="0"/>
        <w:ind w:left="360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021063D" w14:textId="77777777" w:rsidR="00617BB0" w:rsidRPr="00617BB0" w:rsidRDefault="00617BB0" w:rsidP="00617BB0">
      <w:pPr>
        <w:spacing w:after="0"/>
        <w:ind w:left="360"/>
        <w:jc w:val="both"/>
        <w:rPr>
          <w:rFonts w:ascii="Calibri Light" w:eastAsia="Times New Roman" w:hAnsi="Calibri Light" w:cs="Calibri Light"/>
          <w:sz w:val="24"/>
          <w:szCs w:val="24"/>
          <w:lang w:eastAsia="pl-PL"/>
        </w:rPr>
      </w:pPr>
    </w:p>
    <w:p w14:paraId="0DF8F5E8" w14:textId="77777777" w:rsidR="00617BB0" w:rsidRPr="00617BB0" w:rsidRDefault="00617BB0" w:rsidP="00617BB0">
      <w:pPr>
        <w:spacing w:after="0"/>
        <w:jc w:val="both"/>
        <w:rPr>
          <w:rFonts w:ascii="Calibri Light" w:eastAsia="Calibri" w:hAnsi="Calibri Light" w:cs="Calibri Light"/>
          <w:b/>
          <w:bCs/>
          <w:sz w:val="24"/>
          <w:szCs w:val="24"/>
        </w:rPr>
      </w:pPr>
    </w:p>
    <w:p w14:paraId="7742DF33" w14:textId="77777777" w:rsidR="00E91331" w:rsidRPr="00617BB0" w:rsidRDefault="00E91331" w:rsidP="00E91331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</w:p>
    <w:sectPr w:rsidR="00E91331" w:rsidRPr="00617BB0" w:rsidSect="0094415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2828" w14:textId="77777777" w:rsidR="004A4B01" w:rsidRDefault="004A4B01" w:rsidP="005177E5">
      <w:pPr>
        <w:spacing w:after="0" w:line="240" w:lineRule="auto"/>
      </w:pPr>
      <w:r>
        <w:separator/>
      </w:r>
    </w:p>
  </w:endnote>
  <w:endnote w:type="continuationSeparator" w:id="0">
    <w:p w14:paraId="3EFCA6DF" w14:textId="77777777" w:rsidR="004A4B01" w:rsidRDefault="004A4B01" w:rsidP="0051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363251"/>
      <w:docPartObj>
        <w:docPartGallery w:val="Page Numbers (Bottom of Page)"/>
        <w:docPartUnique/>
      </w:docPartObj>
    </w:sdtPr>
    <w:sdtEndPr/>
    <w:sdtContent>
      <w:p w14:paraId="2D45AF46" w14:textId="77777777" w:rsidR="005177E5" w:rsidRDefault="00F9225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78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61E938" w14:textId="77777777" w:rsidR="005177E5" w:rsidRDefault="00517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5D4D" w14:textId="77777777" w:rsidR="004A4B01" w:rsidRDefault="004A4B01" w:rsidP="005177E5">
      <w:pPr>
        <w:spacing w:after="0" w:line="240" w:lineRule="auto"/>
      </w:pPr>
      <w:r>
        <w:separator/>
      </w:r>
    </w:p>
  </w:footnote>
  <w:footnote w:type="continuationSeparator" w:id="0">
    <w:p w14:paraId="34F17291" w14:textId="77777777" w:rsidR="004A4B01" w:rsidRDefault="004A4B01" w:rsidP="00517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FBE212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531495B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3"/>
    <w:multiLevelType w:val="singleLevel"/>
    <w:tmpl w:val="C66238B4"/>
    <w:name w:val="WW8Num3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9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000002E"/>
    <w:multiLevelType w:val="singleLevel"/>
    <w:tmpl w:val="8B28F680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1" w15:restartNumberingAfterBreak="0">
    <w:nsid w:val="0B835474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0C20367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21A2CDA"/>
    <w:multiLevelType w:val="singleLevel"/>
    <w:tmpl w:val="5314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16AB57B4"/>
    <w:multiLevelType w:val="hybridMultilevel"/>
    <w:tmpl w:val="DDF4586E"/>
    <w:lvl w:ilvl="0" w:tplc="BAEED236">
      <w:start w:val="1"/>
      <w:numFmt w:val="decimal"/>
      <w:lvlText w:val="%1)"/>
      <w:lvlJc w:val="left"/>
      <w:pPr>
        <w:ind w:left="1119" w:hanging="360"/>
      </w:pPr>
      <w:rPr>
        <w:rFonts w:ascii="Arial" w:eastAsia="Times New Roman" w:hAnsi="Arial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839"/>
        </w:tabs>
        <w:ind w:left="1839" w:hanging="360"/>
      </w:pPr>
      <w:rPr>
        <w:rFonts w:cs="Times New Roman"/>
      </w:rPr>
    </w:lvl>
    <w:lvl w:ilvl="2" w:tplc="C518AA38">
      <w:start w:val="1"/>
      <w:numFmt w:val="lowerLetter"/>
      <w:lvlText w:val="%3)"/>
      <w:lvlJc w:val="left"/>
      <w:pPr>
        <w:ind w:left="273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  <w:rPr>
        <w:rFonts w:cs="Times New Roman"/>
      </w:rPr>
    </w:lvl>
  </w:abstractNum>
  <w:abstractNum w:abstractNumId="16" w15:restartNumberingAfterBreak="0">
    <w:nsid w:val="16EA40F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7232A37"/>
    <w:multiLevelType w:val="singleLevel"/>
    <w:tmpl w:val="D542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F0456B2"/>
    <w:multiLevelType w:val="hybridMultilevel"/>
    <w:tmpl w:val="2E5C0C4A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8211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27615BC"/>
    <w:multiLevelType w:val="hybridMultilevel"/>
    <w:tmpl w:val="FF340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E7E25"/>
    <w:multiLevelType w:val="hybridMultilevel"/>
    <w:tmpl w:val="2B1C1F8E"/>
    <w:lvl w:ilvl="0" w:tplc="E678159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</w:rPr>
    </w:lvl>
    <w:lvl w:ilvl="1" w:tplc="04150017">
      <w:start w:val="1"/>
      <w:numFmt w:val="lowerLetter"/>
      <w:lvlText w:val="%2)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F071C"/>
    <w:multiLevelType w:val="hybridMultilevel"/>
    <w:tmpl w:val="C7E89ACC"/>
    <w:lvl w:ilvl="0" w:tplc="E0FA70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67DFC"/>
    <w:multiLevelType w:val="hybridMultilevel"/>
    <w:tmpl w:val="D05CEE42"/>
    <w:lvl w:ilvl="0" w:tplc="09A683F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849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6859E3"/>
    <w:multiLevelType w:val="multilevel"/>
    <w:tmpl w:val="56C40272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432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4D3B4A"/>
    <w:multiLevelType w:val="hybridMultilevel"/>
    <w:tmpl w:val="D79E42EC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DA17B67"/>
    <w:multiLevelType w:val="hybridMultilevel"/>
    <w:tmpl w:val="009CD68E"/>
    <w:lvl w:ilvl="0" w:tplc="0415000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9" w:hanging="360"/>
      </w:pPr>
      <w:rPr>
        <w:rFonts w:ascii="Wingdings" w:hAnsi="Wingdings" w:hint="default"/>
      </w:rPr>
    </w:lvl>
  </w:abstractNum>
  <w:abstractNum w:abstractNumId="27" w15:restartNumberingAfterBreak="0">
    <w:nsid w:val="3F2820D4"/>
    <w:multiLevelType w:val="hybridMultilevel"/>
    <w:tmpl w:val="A2344D0E"/>
    <w:lvl w:ilvl="0" w:tplc="FFFFFFFF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3344" w:hanging="360"/>
      </w:pPr>
    </w:lvl>
    <w:lvl w:ilvl="2" w:tplc="FFFFFFFF">
      <w:start w:val="1"/>
      <w:numFmt w:val="lowerRoman"/>
      <w:lvlText w:val="%3."/>
      <w:lvlJc w:val="right"/>
      <w:pPr>
        <w:ind w:left="2946" w:hanging="180"/>
      </w:pPr>
    </w:lvl>
    <w:lvl w:ilvl="3" w:tplc="FFFFFFFF">
      <w:start w:val="1"/>
      <w:numFmt w:val="decimal"/>
      <w:lvlText w:val="%4."/>
      <w:lvlJc w:val="left"/>
      <w:pPr>
        <w:ind w:left="3666" w:hanging="360"/>
      </w:pPr>
    </w:lvl>
    <w:lvl w:ilvl="4" w:tplc="FFFFFFFF">
      <w:start w:val="1"/>
      <w:numFmt w:val="lowerLetter"/>
      <w:lvlText w:val="%5."/>
      <w:lvlJc w:val="left"/>
      <w:pPr>
        <w:ind w:left="4386" w:hanging="360"/>
      </w:pPr>
    </w:lvl>
    <w:lvl w:ilvl="5" w:tplc="FFFFFFFF">
      <w:start w:val="1"/>
      <w:numFmt w:val="lowerRoman"/>
      <w:lvlText w:val="%6."/>
      <w:lvlJc w:val="right"/>
      <w:pPr>
        <w:ind w:left="5106" w:hanging="180"/>
      </w:pPr>
    </w:lvl>
    <w:lvl w:ilvl="6" w:tplc="FFFFFFFF">
      <w:start w:val="1"/>
      <w:numFmt w:val="decimal"/>
      <w:lvlText w:val="%7."/>
      <w:lvlJc w:val="left"/>
      <w:pPr>
        <w:ind w:left="5826" w:hanging="360"/>
      </w:pPr>
    </w:lvl>
    <w:lvl w:ilvl="7" w:tplc="FFFFFFFF">
      <w:start w:val="1"/>
      <w:numFmt w:val="lowerLetter"/>
      <w:lvlText w:val="%8."/>
      <w:lvlJc w:val="left"/>
      <w:pPr>
        <w:ind w:left="6546" w:hanging="360"/>
      </w:pPr>
    </w:lvl>
    <w:lvl w:ilvl="8" w:tplc="FFFFFFFF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43D7609A"/>
    <w:multiLevelType w:val="hybridMultilevel"/>
    <w:tmpl w:val="8D42AE2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6F1CEB"/>
    <w:multiLevelType w:val="hybridMultilevel"/>
    <w:tmpl w:val="F34EA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9300C85"/>
    <w:multiLevelType w:val="hybridMultilevel"/>
    <w:tmpl w:val="A0D47B6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114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E781601"/>
    <w:multiLevelType w:val="hybridMultilevel"/>
    <w:tmpl w:val="02A830F6"/>
    <w:lvl w:ilvl="0" w:tplc="FFFFFFFF">
      <w:start w:val="1"/>
      <w:numFmt w:val="decimal"/>
      <w:lvlText w:val="%1)"/>
      <w:lvlJc w:val="left"/>
      <w:pPr>
        <w:ind w:left="1014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454" w:hanging="180"/>
      </w:pPr>
    </w:lvl>
    <w:lvl w:ilvl="3" w:tplc="FFFFFFFF">
      <w:start w:val="1"/>
      <w:numFmt w:val="decimal"/>
      <w:lvlText w:val="%4."/>
      <w:lvlJc w:val="left"/>
      <w:pPr>
        <w:ind w:left="3174" w:hanging="360"/>
      </w:pPr>
    </w:lvl>
    <w:lvl w:ilvl="4" w:tplc="FFFFFFFF">
      <w:start w:val="1"/>
      <w:numFmt w:val="lowerLetter"/>
      <w:lvlText w:val="%5."/>
      <w:lvlJc w:val="left"/>
      <w:pPr>
        <w:ind w:left="3894" w:hanging="360"/>
      </w:pPr>
    </w:lvl>
    <w:lvl w:ilvl="5" w:tplc="FFFFFFFF">
      <w:start w:val="1"/>
      <w:numFmt w:val="lowerRoman"/>
      <w:lvlText w:val="%6."/>
      <w:lvlJc w:val="right"/>
      <w:pPr>
        <w:ind w:left="4614" w:hanging="180"/>
      </w:pPr>
    </w:lvl>
    <w:lvl w:ilvl="6" w:tplc="FFFFFFFF">
      <w:start w:val="1"/>
      <w:numFmt w:val="decimal"/>
      <w:lvlText w:val="%7."/>
      <w:lvlJc w:val="left"/>
      <w:pPr>
        <w:ind w:left="5334" w:hanging="360"/>
      </w:pPr>
    </w:lvl>
    <w:lvl w:ilvl="7" w:tplc="FFFFFFFF">
      <w:start w:val="1"/>
      <w:numFmt w:val="lowerLetter"/>
      <w:lvlText w:val="%8."/>
      <w:lvlJc w:val="left"/>
      <w:pPr>
        <w:ind w:left="6054" w:hanging="360"/>
      </w:pPr>
    </w:lvl>
    <w:lvl w:ilvl="8" w:tplc="FFFFFFFF">
      <w:start w:val="1"/>
      <w:numFmt w:val="lowerRoman"/>
      <w:lvlText w:val="%9."/>
      <w:lvlJc w:val="right"/>
      <w:pPr>
        <w:ind w:left="6774" w:hanging="180"/>
      </w:pPr>
    </w:lvl>
  </w:abstractNum>
  <w:abstractNum w:abstractNumId="33" w15:restartNumberingAfterBreak="0">
    <w:nsid w:val="4F5C4EED"/>
    <w:multiLevelType w:val="hybridMultilevel"/>
    <w:tmpl w:val="BF023796"/>
    <w:lvl w:ilvl="0" w:tplc="1DC431A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27196"/>
    <w:multiLevelType w:val="hybridMultilevel"/>
    <w:tmpl w:val="D0C80A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43A6E1C"/>
    <w:multiLevelType w:val="hybridMultilevel"/>
    <w:tmpl w:val="AE628548"/>
    <w:lvl w:ilvl="0" w:tplc="AED220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62782"/>
    <w:multiLevelType w:val="hybridMultilevel"/>
    <w:tmpl w:val="9930310A"/>
    <w:lvl w:ilvl="0" w:tplc="DDC8D6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31CBE"/>
    <w:multiLevelType w:val="multilevel"/>
    <w:tmpl w:val="16F622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5">
      <w:start w:val="2"/>
      <w:numFmt w:val="decimal"/>
      <w:lvlText w:val="%4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1"/>
      <w:numFmt w:val="decimal"/>
      <w:lvlText w:val="%4.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</w:abstractNum>
  <w:abstractNum w:abstractNumId="38" w15:restartNumberingAfterBreak="0">
    <w:nsid w:val="70BC2FB3"/>
    <w:multiLevelType w:val="hybridMultilevel"/>
    <w:tmpl w:val="0FD6EF0E"/>
    <w:lvl w:ilvl="0" w:tplc="123616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9817D6"/>
    <w:multiLevelType w:val="hybridMultilevel"/>
    <w:tmpl w:val="1AD4A746"/>
    <w:lvl w:ilvl="0" w:tplc="AE2C482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23B090B2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65B682F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A76054"/>
    <w:multiLevelType w:val="hybridMultilevel"/>
    <w:tmpl w:val="EA402FEC"/>
    <w:lvl w:ilvl="0" w:tplc="24543462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72766EE9"/>
    <w:multiLevelType w:val="hybridMultilevel"/>
    <w:tmpl w:val="7DFE0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82979"/>
    <w:multiLevelType w:val="hybridMultilevel"/>
    <w:tmpl w:val="864453C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62DEB"/>
    <w:multiLevelType w:val="hybridMultilevel"/>
    <w:tmpl w:val="BB7AD70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BE6D32"/>
    <w:multiLevelType w:val="hybridMultilevel"/>
    <w:tmpl w:val="E91A410A"/>
    <w:lvl w:ilvl="0" w:tplc="85A8E5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6008">
    <w:abstractNumId w:val="0"/>
  </w:num>
  <w:num w:numId="2" w16cid:durableId="254049870">
    <w:abstractNumId w:val="1"/>
  </w:num>
  <w:num w:numId="3" w16cid:durableId="1590693966">
    <w:abstractNumId w:val="2"/>
  </w:num>
  <w:num w:numId="4" w16cid:durableId="356664970">
    <w:abstractNumId w:val="3"/>
  </w:num>
  <w:num w:numId="5" w16cid:durableId="826286820">
    <w:abstractNumId w:val="4"/>
  </w:num>
  <w:num w:numId="6" w16cid:durableId="1302269106">
    <w:abstractNumId w:val="5"/>
  </w:num>
  <w:num w:numId="7" w16cid:durableId="1635528342">
    <w:abstractNumId w:val="6"/>
  </w:num>
  <w:num w:numId="8" w16cid:durableId="440955208">
    <w:abstractNumId w:val="7"/>
  </w:num>
  <w:num w:numId="9" w16cid:durableId="371266397">
    <w:abstractNumId w:val="8"/>
  </w:num>
  <w:num w:numId="10" w16cid:durableId="1073547724">
    <w:abstractNumId w:val="9"/>
  </w:num>
  <w:num w:numId="11" w16cid:durableId="5795360">
    <w:abstractNumId w:val="10"/>
  </w:num>
  <w:num w:numId="12" w16cid:durableId="402063798">
    <w:abstractNumId w:val="23"/>
  </w:num>
  <w:num w:numId="13" w16cid:durableId="875048194">
    <w:abstractNumId w:val="30"/>
  </w:num>
  <w:num w:numId="14" w16cid:durableId="1823279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1727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45238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0482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85770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4759000">
    <w:abstractNumId w:val="28"/>
  </w:num>
  <w:num w:numId="20" w16cid:durableId="757753573">
    <w:abstractNumId w:val="19"/>
  </w:num>
  <w:num w:numId="21" w16cid:durableId="1465083445">
    <w:abstractNumId w:val="22"/>
  </w:num>
  <w:num w:numId="22" w16cid:durableId="67582287">
    <w:abstractNumId w:val="43"/>
  </w:num>
  <w:num w:numId="23" w16cid:durableId="760763074">
    <w:abstractNumId w:val="14"/>
  </w:num>
  <w:num w:numId="24" w16cid:durableId="1928807176">
    <w:abstractNumId w:val="42"/>
  </w:num>
  <w:num w:numId="25" w16cid:durableId="1931960627">
    <w:abstractNumId w:val="16"/>
  </w:num>
  <w:num w:numId="26" w16cid:durableId="2124231300">
    <w:abstractNumId w:val="17"/>
  </w:num>
  <w:num w:numId="27" w16cid:durableId="539129055">
    <w:abstractNumId w:val="13"/>
  </w:num>
  <w:num w:numId="28" w16cid:durableId="1813718297">
    <w:abstractNumId w:val="11"/>
  </w:num>
  <w:num w:numId="29" w16cid:durableId="1583298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5184137">
    <w:abstractNumId w:val="21"/>
  </w:num>
  <w:num w:numId="31" w16cid:durableId="371928859">
    <w:abstractNumId w:val="12"/>
  </w:num>
  <w:num w:numId="32" w16cid:durableId="1460881371">
    <w:abstractNumId w:val="15"/>
  </w:num>
  <w:num w:numId="33" w16cid:durableId="923419284">
    <w:abstractNumId w:val="41"/>
  </w:num>
  <w:num w:numId="34" w16cid:durableId="1763261666">
    <w:abstractNumId w:val="26"/>
  </w:num>
  <w:num w:numId="35" w16cid:durableId="1651904688">
    <w:abstractNumId w:val="39"/>
  </w:num>
  <w:num w:numId="36" w16cid:durableId="111917939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0929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44169803">
    <w:abstractNumId w:val="35"/>
  </w:num>
  <w:num w:numId="39" w16cid:durableId="1056010808">
    <w:abstractNumId w:val="24"/>
  </w:num>
  <w:num w:numId="40" w16cid:durableId="1785422417">
    <w:abstractNumId w:val="29"/>
  </w:num>
  <w:num w:numId="41" w16cid:durableId="824707395">
    <w:abstractNumId w:val="20"/>
  </w:num>
  <w:num w:numId="42" w16cid:durableId="770201644">
    <w:abstractNumId w:val="36"/>
  </w:num>
  <w:num w:numId="43" w16cid:durableId="1024787277">
    <w:abstractNumId w:val="37"/>
  </w:num>
  <w:num w:numId="44" w16cid:durableId="190537483">
    <w:abstractNumId w:val="40"/>
  </w:num>
  <w:num w:numId="45" w16cid:durableId="15315287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512519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41541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730680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753699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82"/>
    <w:rsid w:val="00006A39"/>
    <w:rsid w:val="000538A5"/>
    <w:rsid w:val="00062DE7"/>
    <w:rsid w:val="000B4AE5"/>
    <w:rsid w:val="000C002B"/>
    <w:rsid w:val="00124915"/>
    <w:rsid w:val="0015162D"/>
    <w:rsid w:val="0017477D"/>
    <w:rsid w:val="001829C0"/>
    <w:rsid w:val="001A5006"/>
    <w:rsid w:val="001C45F0"/>
    <w:rsid w:val="0023372B"/>
    <w:rsid w:val="002670D8"/>
    <w:rsid w:val="00282428"/>
    <w:rsid w:val="00295138"/>
    <w:rsid w:val="002B1EC8"/>
    <w:rsid w:val="002D7B42"/>
    <w:rsid w:val="00322B2F"/>
    <w:rsid w:val="003413BC"/>
    <w:rsid w:val="003440B1"/>
    <w:rsid w:val="00361F70"/>
    <w:rsid w:val="0038775D"/>
    <w:rsid w:val="003C64DC"/>
    <w:rsid w:val="003E3249"/>
    <w:rsid w:val="003F0DF8"/>
    <w:rsid w:val="00407AB0"/>
    <w:rsid w:val="004A4B01"/>
    <w:rsid w:val="004A79C8"/>
    <w:rsid w:val="004B088A"/>
    <w:rsid w:val="004E11FC"/>
    <w:rsid w:val="005177E5"/>
    <w:rsid w:val="0052132A"/>
    <w:rsid w:val="00570166"/>
    <w:rsid w:val="00575DC0"/>
    <w:rsid w:val="005A1A8C"/>
    <w:rsid w:val="005A6294"/>
    <w:rsid w:val="005B7E05"/>
    <w:rsid w:val="00606BD1"/>
    <w:rsid w:val="00612AB1"/>
    <w:rsid w:val="00617BB0"/>
    <w:rsid w:val="00625D98"/>
    <w:rsid w:val="006344BC"/>
    <w:rsid w:val="006C28EC"/>
    <w:rsid w:val="006D68D7"/>
    <w:rsid w:val="006D7AED"/>
    <w:rsid w:val="006E16C1"/>
    <w:rsid w:val="00705AF2"/>
    <w:rsid w:val="007103D7"/>
    <w:rsid w:val="00730F35"/>
    <w:rsid w:val="00740EE6"/>
    <w:rsid w:val="00777276"/>
    <w:rsid w:val="00784129"/>
    <w:rsid w:val="00792C29"/>
    <w:rsid w:val="007B0CA9"/>
    <w:rsid w:val="007B184E"/>
    <w:rsid w:val="007B572F"/>
    <w:rsid w:val="00814AB4"/>
    <w:rsid w:val="008573DD"/>
    <w:rsid w:val="008822E3"/>
    <w:rsid w:val="00883C79"/>
    <w:rsid w:val="00884926"/>
    <w:rsid w:val="008C0EA7"/>
    <w:rsid w:val="008E2D61"/>
    <w:rsid w:val="008E5DBD"/>
    <w:rsid w:val="008E6E27"/>
    <w:rsid w:val="00925184"/>
    <w:rsid w:val="00940B35"/>
    <w:rsid w:val="0094415C"/>
    <w:rsid w:val="0095239A"/>
    <w:rsid w:val="00970EB5"/>
    <w:rsid w:val="00976524"/>
    <w:rsid w:val="009D0C95"/>
    <w:rsid w:val="009E3635"/>
    <w:rsid w:val="009E635B"/>
    <w:rsid w:val="00A2234E"/>
    <w:rsid w:val="00A302BC"/>
    <w:rsid w:val="00A5071A"/>
    <w:rsid w:val="00A6563B"/>
    <w:rsid w:val="00B12CF2"/>
    <w:rsid w:val="00B27031"/>
    <w:rsid w:val="00B4331E"/>
    <w:rsid w:val="00B709D9"/>
    <w:rsid w:val="00B73FDA"/>
    <w:rsid w:val="00BD4332"/>
    <w:rsid w:val="00C61215"/>
    <w:rsid w:val="00C72762"/>
    <w:rsid w:val="00C87260"/>
    <w:rsid w:val="00D155CB"/>
    <w:rsid w:val="00D44A97"/>
    <w:rsid w:val="00D81C90"/>
    <w:rsid w:val="00D86972"/>
    <w:rsid w:val="00DB6ABE"/>
    <w:rsid w:val="00DC1FFC"/>
    <w:rsid w:val="00E211E5"/>
    <w:rsid w:val="00E55E82"/>
    <w:rsid w:val="00E75C4C"/>
    <w:rsid w:val="00E91331"/>
    <w:rsid w:val="00EA43BD"/>
    <w:rsid w:val="00EE2C0E"/>
    <w:rsid w:val="00EF7804"/>
    <w:rsid w:val="00F33BB4"/>
    <w:rsid w:val="00F92258"/>
    <w:rsid w:val="00FD6F49"/>
    <w:rsid w:val="00FF2E05"/>
    <w:rsid w:val="00FF5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6CBC"/>
  <w15:docId w15:val="{5FC8A343-16A4-4C00-93EE-BCA2E4C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A3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2CF2"/>
    <w:pPr>
      <w:ind w:left="720"/>
      <w:contextualSpacing/>
    </w:pPr>
  </w:style>
  <w:style w:type="character" w:customStyle="1" w:styleId="Nagwek1">
    <w:name w:val="Nagłówek #1_"/>
    <w:basedOn w:val="Domylnaczcionkaakapitu"/>
    <w:link w:val="Nagwek10"/>
    <w:rsid w:val="0012491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24915"/>
    <w:pPr>
      <w:shd w:val="clear" w:color="auto" w:fill="FFFFFF"/>
      <w:spacing w:after="0" w:line="274" w:lineRule="exact"/>
      <w:ind w:hanging="380"/>
      <w:outlineLvl w:val="0"/>
    </w:pPr>
    <w:rPr>
      <w:rFonts w:ascii="Times New Roman" w:eastAsia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4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1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77E5"/>
  </w:style>
  <w:style w:type="paragraph" w:styleId="Stopka">
    <w:name w:val="footer"/>
    <w:basedOn w:val="Normalny"/>
    <w:link w:val="StopkaZnak"/>
    <w:uiPriority w:val="99"/>
    <w:unhideWhenUsed/>
    <w:rsid w:val="00517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7E5"/>
  </w:style>
  <w:style w:type="paragraph" w:styleId="NormalnyWeb">
    <w:name w:val="Normal (Web)"/>
    <w:basedOn w:val="Normalny"/>
    <w:uiPriority w:val="99"/>
    <w:semiHidden/>
    <w:unhideWhenUsed/>
    <w:rsid w:val="00E9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A223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3">
    <w:name w:val="Tekst treści (3)_"/>
    <w:link w:val="Teksttreci30"/>
    <w:rsid w:val="00A223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Podpistabeli">
    <w:name w:val="Podpis tabeli_"/>
    <w:link w:val="Podpistabeli0"/>
    <w:rsid w:val="00A2234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2234E"/>
    <w:pPr>
      <w:shd w:val="clear" w:color="auto" w:fill="FFFFFF"/>
      <w:spacing w:after="360" w:line="0" w:lineRule="atLeas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eksttreci30">
    <w:name w:val="Tekst treści (3)"/>
    <w:basedOn w:val="Normalny"/>
    <w:link w:val="Teksttreci3"/>
    <w:rsid w:val="00A2234E"/>
    <w:pPr>
      <w:shd w:val="clear" w:color="auto" w:fill="FFFFFF"/>
      <w:spacing w:before="660" w:after="6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Podpistabeli0">
    <w:name w:val="Podpis tabeli"/>
    <w:basedOn w:val="Normalny"/>
    <w:link w:val="Podpistabeli"/>
    <w:rsid w:val="00A2234E"/>
    <w:pPr>
      <w:shd w:val="clear" w:color="auto" w:fill="FFFFFF"/>
      <w:spacing w:after="0" w:line="292" w:lineRule="exact"/>
      <w:ind w:hanging="28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BA4D-5B5C-489B-B174-938F584B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3191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3</cp:revision>
  <cp:lastPrinted>2023-03-01T13:20:00Z</cp:lastPrinted>
  <dcterms:created xsi:type="dcterms:W3CDTF">2023-03-15T12:52:00Z</dcterms:created>
  <dcterms:modified xsi:type="dcterms:W3CDTF">2025-09-01T12:59:00Z</dcterms:modified>
</cp:coreProperties>
</file>